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29" w:rsidRPr="0029622C" w:rsidRDefault="0029622C" w:rsidP="0029622C">
      <w:pPr>
        <w:spacing w:after="0" w:line="240" w:lineRule="auto"/>
        <w:jc w:val="center"/>
        <w:rPr>
          <w:rFonts w:ascii="Times New Roman" w:hAnsi="Times New Roman" w:cs="Times New Roman"/>
          <w:sz w:val="24"/>
          <w:szCs w:val="24"/>
        </w:rPr>
      </w:pPr>
      <w:r w:rsidRPr="0029622C">
        <w:rPr>
          <w:rFonts w:ascii="Times New Roman" w:hAnsi="Times New Roman" w:cs="Times New Roman"/>
          <w:sz w:val="24"/>
          <w:szCs w:val="24"/>
        </w:rPr>
        <w:t>Разъяснения положений конкурсной документации</w:t>
      </w:r>
    </w:p>
    <w:p w:rsidR="0029622C" w:rsidRPr="0029622C" w:rsidRDefault="0029622C" w:rsidP="0029622C">
      <w:pPr>
        <w:spacing w:after="0" w:line="240" w:lineRule="auto"/>
        <w:jc w:val="center"/>
        <w:rPr>
          <w:rFonts w:ascii="Times New Roman" w:eastAsia="Times New Roman" w:hAnsi="Times New Roman" w:cs="Times New Roman"/>
          <w:sz w:val="24"/>
          <w:szCs w:val="24"/>
          <w:lang w:eastAsia="ru-RU"/>
        </w:rPr>
      </w:pPr>
      <w:r w:rsidRPr="0029622C">
        <w:rPr>
          <w:rFonts w:ascii="Times New Roman" w:eastAsia="Times New Roman" w:hAnsi="Times New Roman" w:cs="Times New Roman"/>
          <w:sz w:val="24"/>
          <w:szCs w:val="24"/>
          <w:lang w:eastAsia="ru-RU"/>
        </w:rPr>
        <w:t>для закупки № 0538100000416000006</w:t>
      </w:r>
    </w:p>
    <w:p w:rsidR="0029622C" w:rsidRDefault="0029622C" w:rsidP="0029622C">
      <w:pPr>
        <w:spacing w:after="0" w:line="240" w:lineRule="auto"/>
        <w:jc w:val="center"/>
        <w:rPr>
          <w:rFonts w:ascii="Times New Roman" w:eastAsia="Times New Roman" w:hAnsi="Times New Roman" w:cs="Times New Roman"/>
          <w:sz w:val="24"/>
          <w:szCs w:val="24"/>
          <w:lang w:eastAsia="ru-RU"/>
        </w:rPr>
      </w:pPr>
      <w:r w:rsidRPr="0029622C">
        <w:rPr>
          <w:rFonts w:ascii="Times New Roman" w:eastAsia="Times New Roman" w:hAnsi="Times New Roman" w:cs="Times New Roman"/>
          <w:sz w:val="24"/>
          <w:szCs w:val="24"/>
          <w:lang w:eastAsia="ru-RU"/>
        </w:rPr>
        <w:t xml:space="preserve">Выполнение проектных и изыскательских работ по объекту: </w:t>
      </w:r>
      <w:r w:rsidR="00207257">
        <w:rPr>
          <w:rFonts w:ascii="Times New Roman" w:eastAsia="Times New Roman" w:hAnsi="Times New Roman" w:cs="Times New Roman"/>
          <w:sz w:val="24"/>
          <w:szCs w:val="24"/>
          <w:lang w:eastAsia="ru-RU"/>
        </w:rPr>
        <w:t>«</w:t>
      </w:r>
      <w:r w:rsidRPr="0029622C">
        <w:rPr>
          <w:rFonts w:ascii="Times New Roman" w:eastAsia="Times New Roman" w:hAnsi="Times New Roman" w:cs="Times New Roman"/>
          <w:sz w:val="24"/>
          <w:szCs w:val="24"/>
          <w:lang w:eastAsia="ru-RU"/>
        </w:rPr>
        <w:t xml:space="preserve">Реконструкция аэропорта Мильково, </w:t>
      </w:r>
      <w:r w:rsidR="00207257">
        <w:rPr>
          <w:rFonts w:ascii="Times New Roman" w:eastAsia="Times New Roman" w:hAnsi="Times New Roman" w:cs="Times New Roman"/>
          <w:sz w:val="24"/>
          <w:szCs w:val="24"/>
          <w:lang w:eastAsia="ru-RU"/>
        </w:rPr>
        <w:t>Камчатский край»</w:t>
      </w:r>
    </w:p>
    <w:p w:rsidR="0029622C" w:rsidRDefault="0029622C" w:rsidP="0029622C">
      <w:pPr>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tblPr>
      <w:tblGrid>
        <w:gridCol w:w="4361"/>
        <w:gridCol w:w="5103"/>
      </w:tblGrid>
      <w:tr w:rsidR="0029622C" w:rsidTr="0029622C">
        <w:trPr>
          <w:tblHeader/>
        </w:trPr>
        <w:tc>
          <w:tcPr>
            <w:tcW w:w="4361" w:type="dxa"/>
          </w:tcPr>
          <w:p w:rsidR="0029622C" w:rsidRDefault="0029622C" w:rsidP="0029622C">
            <w:pPr>
              <w:jc w:val="center"/>
              <w:rPr>
                <w:rFonts w:ascii="Times New Roman" w:hAnsi="Times New Roman" w:cs="Times New Roman"/>
                <w:sz w:val="24"/>
                <w:szCs w:val="24"/>
              </w:rPr>
            </w:pPr>
            <w:r>
              <w:rPr>
                <w:rFonts w:ascii="Times New Roman" w:hAnsi="Times New Roman" w:cs="Times New Roman"/>
                <w:sz w:val="24"/>
                <w:szCs w:val="24"/>
              </w:rPr>
              <w:t>Вопрос Участника закупки</w:t>
            </w:r>
          </w:p>
        </w:tc>
        <w:tc>
          <w:tcPr>
            <w:tcW w:w="5103" w:type="dxa"/>
          </w:tcPr>
          <w:p w:rsidR="0029622C" w:rsidRDefault="0029622C" w:rsidP="0029622C">
            <w:pPr>
              <w:jc w:val="center"/>
              <w:rPr>
                <w:rFonts w:ascii="Times New Roman" w:hAnsi="Times New Roman" w:cs="Times New Roman"/>
                <w:sz w:val="24"/>
                <w:szCs w:val="24"/>
              </w:rPr>
            </w:pPr>
            <w:r>
              <w:rPr>
                <w:rFonts w:ascii="Times New Roman" w:hAnsi="Times New Roman" w:cs="Times New Roman"/>
                <w:sz w:val="24"/>
                <w:szCs w:val="24"/>
              </w:rPr>
              <w:t>Ответ заказчика</w:t>
            </w:r>
          </w:p>
        </w:tc>
      </w:tr>
      <w:tr w:rsidR="0029622C" w:rsidTr="0029622C">
        <w:tc>
          <w:tcPr>
            <w:tcW w:w="4361" w:type="dxa"/>
          </w:tcPr>
          <w:p w:rsidR="0029622C" w:rsidRDefault="0029622C" w:rsidP="0029622C">
            <w:pPr>
              <w:jc w:val="both"/>
              <w:rPr>
                <w:rFonts w:ascii="Times New Roman" w:hAnsi="Times New Roman" w:cs="Times New Roman"/>
                <w:sz w:val="24"/>
                <w:szCs w:val="24"/>
              </w:rPr>
            </w:pPr>
            <w:r>
              <w:rPr>
                <w:rFonts w:ascii="Times New Roman" w:hAnsi="Times New Roman" w:cs="Times New Roman"/>
                <w:sz w:val="24"/>
                <w:szCs w:val="24"/>
              </w:rPr>
              <w:t>В один лот включены два самостоятельных вида деятельности, не связанные между собой технологически и функционально</w:t>
            </w:r>
            <w:r w:rsidR="00207257">
              <w:rPr>
                <w:rFonts w:ascii="Times New Roman" w:hAnsi="Times New Roman" w:cs="Times New Roman"/>
                <w:sz w:val="24"/>
                <w:szCs w:val="24"/>
              </w:rPr>
              <w:t>.</w:t>
            </w:r>
          </w:p>
        </w:tc>
        <w:tc>
          <w:tcPr>
            <w:tcW w:w="5103" w:type="dxa"/>
          </w:tcPr>
          <w:p w:rsidR="0029622C" w:rsidRPr="0029622C" w:rsidRDefault="0029622C" w:rsidP="0029622C">
            <w:pPr>
              <w:ind w:firstLine="708"/>
              <w:jc w:val="both"/>
              <w:rPr>
                <w:rFonts w:ascii="Times New Roman" w:hAnsi="Times New Roman" w:cs="Times New Roman"/>
                <w:sz w:val="24"/>
                <w:szCs w:val="24"/>
              </w:rPr>
            </w:pPr>
            <w:proofErr w:type="gramStart"/>
            <w:r w:rsidRPr="0029622C">
              <w:rPr>
                <w:rFonts w:ascii="Times New Roman" w:hAnsi="Times New Roman" w:cs="Times New Roman"/>
                <w:sz w:val="24"/>
                <w:szCs w:val="24"/>
              </w:rPr>
              <w:t>Рассмотрев Ваш запрос и изучив Приказ Министерства регионального 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капительного строительства» мы пришли к выводу, что данный приказ утверждает Перечень видов работ, которые оказывают влияние на безопасность объектов капитального</w:t>
            </w:r>
            <w:proofErr w:type="gramEnd"/>
            <w:r w:rsidRPr="0029622C">
              <w:rPr>
                <w:rFonts w:ascii="Times New Roman" w:hAnsi="Times New Roman" w:cs="Times New Roman"/>
                <w:sz w:val="24"/>
                <w:szCs w:val="24"/>
              </w:rPr>
              <w:t xml:space="preserve"> строительства.</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(далее - Закон № 44-ФЗ) не устанавливает ограничений по формированию лотов и, следовательно, предмета контракта, подлежащего заключению по итогам проведения закупки, а содержит только правила описания объекта закупки (ст. 33 Закона № 44-ФЗ). Заказчик обладает свободой в </w:t>
            </w:r>
            <w:proofErr w:type="gramStart"/>
            <w:r w:rsidRPr="0029622C">
              <w:rPr>
                <w:rFonts w:ascii="Times New Roman" w:hAnsi="Times New Roman" w:cs="Times New Roman"/>
                <w:sz w:val="24"/>
                <w:szCs w:val="24"/>
              </w:rPr>
              <w:t>определении</w:t>
            </w:r>
            <w:proofErr w:type="gramEnd"/>
            <w:r w:rsidRPr="0029622C">
              <w:rPr>
                <w:rFonts w:ascii="Times New Roman" w:hAnsi="Times New Roman" w:cs="Times New Roman"/>
                <w:sz w:val="24"/>
                <w:szCs w:val="24"/>
              </w:rPr>
              <w:t xml:space="preserve"> предмета закупки и в формировании лотов исходя из его потребностей. </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 xml:space="preserve">Однако при этом заказчик обязан учитывать основанные на положениях </w:t>
            </w:r>
            <w:proofErr w:type="gramStart"/>
            <w:r w:rsidRPr="0029622C">
              <w:rPr>
                <w:rFonts w:ascii="Times New Roman" w:hAnsi="Times New Roman" w:cs="Times New Roman"/>
                <w:sz w:val="24"/>
                <w:szCs w:val="24"/>
              </w:rPr>
              <w:t>ч</w:t>
            </w:r>
            <w:proofErr w:type="gramEnd"/>
            <w:r w:rsidRPr="0029622C">
              <w:rPr>
                <w:rFonts w:ascii="Times New Roman" w:hAnsi="Times New Roman" w:cs="Times New Roman"/>
                <w:sz w:val="24"/>
                <w:szCs w:val="24"/>
              </w:rPr>
              <w:t>. 3 ст. 17 Федерального закона от 26.07.2006 № 135-ФЗ «О защите конкуренции» ограничения, касающиеся возможности объединения в предмете одного контракта (в одном лоте) товаров, работ, услуг. Эти ограничения связаны с запретом включения в состав одного лота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 xml:space="preserve">Понятие функциональной и технологической взаимосвязи продукции, являющейся предметом торгов, законодательством не раскрывается. Представляется, что этот вопрос и не может быть урегулирован нормами права, поскольку </w:t>
            </w:r>
            <w:r w:rsidRPr="0029622C">
              <w:rPr>
                <w:rFonts w:ascii="Times New Roman" w:hAnsi="Times New Roman" w:cs="Times New Roman"/>
                <w:sz w:val="24"/>
                <w:szCs w:val="24"/>
              </w:rPr>
              <w:lastRenderedPageBreak/>
              <w:t>является в значительной степени техническим и оценочным. Разумеется, могут быть сформулированы какие-то общие критерии, позволяющие установить отсутствие (наличие) функциональной и технологической взаимосвязи между различными товарами, однако в большинстве случаев этот вопрос должен разрешаться с учетом конкретных обстоятельств.</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Как нам представляется, само по себе отнесение товаров к одной группе (классу, подклассу и т.п.) в том</w:t>
            </w:r>
            <w:r>
              <w:rPr>
                <w:rFonts w:ascii="Times New Roman" w:hAnsi="Times New Roman" w:cs="Times New Roman"/>
                <w:sz w:val="24"/>
                <w:szCs w:val="24"/>
              </w:rPr>
              <w:t>,</w:t>
            </w:r>
            <w:r w:rsidRPr="0029622C">
              <w:rPr>
                <w:rFonts w:ascii="Times New Roman" w:hAnsi="Times New Roman" w:cs="Times New Roman"/>
                <w:sz w:val="24"/>
                <w:szCs w:val="24"/>
              </w:rPr>
              <w:t xml:space="preserve"> или ином классификаторе само по себе не имеет определяющего значения при решении вопроса о допустимости включения таких товаров в один лот. </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 xml:space="preserve">К сожалению, ввиду оценочного характера рассматриваемого вопроса нельзя говорить ни о наличии единообразного подхода к его разрешению в правоприменительной практике, ни о наличии официальных разъяснений, где формулировались бы какие-либо универсальные критерии, позволяющие однозначно оценить правомерность объединения различных товаров в рамках одного лота. </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Тем не менее, в правоприменительной практике можно обнаружить примеры, подтверждающие обоснованный выше подход (смотрите, например, постановление</w:t>
            </w:r>
            <w:proofErr w:type="gramStart"/>
            <w:r w:rsidRPr="0029622C">
              <w:rPr>
                <w:rFonts w:ascii="Times New Roman" w:hAnsi="Times New Roman" w:cs="Times New Roman"/>
                <w:sz w:val="24"/>
                <w:szCs w:val="24"/>
              </w:rPr>
              <w:t xml:space="preserve"> В</w:t>
            </w:r>
            <w:proofErr w:type="gramEnd"/>
            <w:r w:rsidRPr="0029622C">
              <w:rPr>
                <w:rFonts w:ascii="Times New Roman" w:hAnsi="Times New Roman" w:cs="Times New Roman"/>
                <w:sz w:val="24"/>
                <w:szCs w:val="24"/>
              </w:rPr>
              <w:t xml:space="preserve">осемнадцатого арбитражного апелляционного суда от 09.12.2014 № </w:t>
            </w:r>
            <w:proofErr w:type="spellStart"/>
            <w:r w:rsidRPr="0029622C">
              <w:rPr>
                <w:rFonts w:ascii="Times New Roman" w:hAnsi="Times New Roman" w:cs="Times New Roman"/>
                <w:sz w:val="24"/>
                <w:szCs w:val="24"/>
              </w:rPr>
              <w:t>18АП-13021</w:t>
            </w:r>
            <w:proofErr w:type="spellEnd"/>
            <w:r w:rsidRPr="0029622C">
              <w:rPr>
                <w:rFonts w:ascii="Times New Roman" w:hAnsi="Times New Roman" w:cs="Times New Roman"/>
                <w:sz w:val="24"/>
                <w:szCs w:val="24"/>
              </w:rPr>
              <w:t>/14).</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 xml:space="preserve">Кроме того, косвенно наша позиция подтверждается судебной практикой по вопросам применения ныне утратившего силу Федерального закона от 21.07.2005 № 94-ФЗ «О размещении заказов на поставки товаров, выполнение работ, оказание услуг для государственных и муниципальных нужд» (смотрите, например, решение Арбитражного суда Республики Хакасия от 10.01.2014 по делу № </w:t>
            </w:r>
            <w:proofErr w:type="spellStart"/>
            <w:r w:rsidRPr="0029622C">
              <w:rPr>
                <w:rFonts w:ascii="Times New Roman" w:hAnsi="Times New Roman" w:cs="Times New Roman"/>
                <w:sz w:val="24"/>
                <w:szCs w:val="24"/>
              </w:rPr>
              <w:t>А74-5562</w:t>
            </w:r>
            <w:proofErr w:type="spellEnd"/>
            <w:r w:rsidRPr="0029622C">
              <w:rPr>
                <w:rFonts w:ascii="Times New Roman" w:hAnsi="Times New Roman" w:cs="Times New Roman"/>
                <w:sz w:val="24"/>
                <w:szCs w:val="24"/>
              </w:rPr>
              <w:t>/2013, постановление</w:t>
            </w:r>
            <w:proofErr w:type="gramStart"/>
            <w:r w:rsidRPr="0029622C">
              <w:rPr>
                <w:rFonts w:ascii="Times New Roman" w:hAnsi="Times New Roman" w:cs="Times New Roman"/>
                <w:sz w:val="24"/>
                <w:szCs w:val="24"/>
              </w:rPr>
              <w:t xml:space="preserve"> Т</w:t>
            </w:r>
            <w:proofErr w:type="gramEnd"/>
            <w:r w:rsidRPr="0029622C">
              <w:rPr>
                <w:rFonts w:ascii="Times New Roman" w:hAnsi="Times New Roman" w:cs="Times New Roman"/>
                <w:sz w:val="24"/>
                <w:szCs w:val="24"/>
              </w:rPr>
              <w:t xml:space="preserve">ринадцатого арбитражного апелляционного суда от 02.10.2012 № </w:t>
            </w:r>
            <w:proofErr w:type="spellStart"/>
            <w:r w:rsidRPr="0029622C">
              <w:rPr>
                <w:rFonts w:ascii="Times New Roman" w:hAnsi="Times New Roman" w:cs="Times New Roman"/>
                <w:sz w:val="24"/>
                <w:szCs w:val="24"/>
              </w:rPr>
              <w:t>13АП-15917</w:t>
            </w:r>
            <w:proofErr w:type="spellEnd"/>
            <w:r w:rsidRPr="0029622C">
              <w:rPr>
                <w:rFonts w:ascii="Times New Roman" w:hAnsi="Times New Roman" w:cs="Times New Roman"/>
                <w:sz w:val="24"/>
                <w:szCs w:val="24"/>
              </w:rPr>
              <w:t xml:space="preserve">/12, постановление Президиума ВАС РФ от 29.01.2013 № 11604/12). Полагаем, что аналогичная логика может использоваться и применительно к рассматриваемой ситуации. </w:t>
            </w:r>
          </w:p>
          <w:p w:rsidR="0029622C" w:rsidRPr="0029622C" w:rsidRDefault="0029622C" w:rsidP="0029622C">
            <w:pPr>
              <w:ind w:firstLine="708"/>
              <w:jc w:val="both"/>
              <w:rPr>
                <w:rFonts w:ascii="Times New Roman" w:hAnsi="Times New Roman" w:cs="Times New Roman"/>
                <w:sz w:val="24"/>
                <w:szCs w:val="24"/>
              </w:rPr>
            </w:pPr>
            <w:proofErr w:type="gramStart"/>
            <w:r w:rsidRPr="0029622C">
              <w:rPr>
                <w:rFonts w:ascii="Times New Roman" w:hAnsi="Times New Roman" w:cs="Times New Roman"/>
                <w:sz w:val="24"/>
                <w:szCs w:val="24"/>
              </w:rPr>
              <w:t xml:space="preserve">Ни одним из </w:t>
            </w:r>
            <w:proofErr w:type="spellStart"/>
            <w:r w:rsidRPr="0029622C">
              <w:rPr>
                <w:rFonts w:ascii="Times New Roman" w:hAnsi="Times New Roman" w:cs="Times New Roman"/>
                <w:sz w:val="24"/>
                <w:szCs w:val="24"/>
              </w:rPr>
              <w:t>нормоутверждающих</w:t>
            </w:r>
            <w:proofErr w:type="spellEnd"/>
            <w:r w:rsidRPr="0029622C">
              <w:rPr>
                <w:rFonts w:ascii="Times New Roman" w:hAnsi="Times New Roman" w:cs="Times New Roman"/>
                <w:sz w:val="24"/>
                <w:szCs w:val="24"/>
              </w:rPr>
              <w:t xml:space="preserve"> </w:t>
            </w:r>
            <w:r w:rsidRPr="0029622C">
              <w:rPr>
                <w:rFonts w:ascii="Times New Roman" w:hAnsi="Times New Roman" w:cs="Times New Roman"/>
                <w:sz w:val="24"/>
                <w:szCs w:val="24"/>
              </w:rPr>
              <w:lastRenderedPageBreak/>
              <w:t xml:space="preserve">документов, не установлено ограничение в получении свидетельств о допуске к работам на особо опасных и технически сложных объектах капитального строительства, оказывающим влияние на безопасность объектов, но есть </w:t>
            </w:r>
            <w:bookmarkStart w:id="0" w:name="sub_15"/>
            <w:r w:rsidRPr="0029622C">
              <w:rPr>
                <w:rFonts w:ascii="Times New Roman" w:hAnsi="Times New Roman" w:cs="Times New Roman"/>
                <w:sz w:val="24"/>
                <w:szCs w:val="24"/>
              </w:rPr>
              <w:t xml:space="preserve">минимально необходимые требования к выдаче </w:t>
            </w:r>
            <w:proofErr w:type="spellStart"/>
            <w:r w:rsidRPr="0029622C">
              <w:rPr>
                <w:rFonts w:ascii="Times New Roman" w:hAnsi="Times New Roman" w:cs="Times New Roman"/>
                <w:sz w:val="24"/>
                <w:szCs w:val="24"/>
              </w:rPr>
              <w:t>саморегулируемыми</w:t>
            </w:r>
            <w:proofErr w:type="spellEnd"/>
            <w:r w:rsidRPr="0029622C">
              <w:rPr>
                <w:rFonts w:ascii="Times New Roman" w:hAnsi="Times New Roman" w:cs="Times New Roman"/>
                <w:sz w:val="24"/>
                <w:szCs w:val="24"/>
              </w:rPr>
              <w:t xml:space="preserve"> организациями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w:t>
            </w:r>
            <w:proofErr w:type="gramEnd"/>
            <w:r w:rsidRPr="0029622C">
              <w:rPr>
                <w:rFonts w:ascii="Times New Roman" w:hAnsi="Times New Roman" w:cs="Times New Roman"/>
                <w:sz w:val="24"/>
                <w:szCs w:val="24"/>
              </w:rPr>
              <w:t xml:space="preserve"> </w:t>
            </w:r>
            <w:proofErr w:type="gramStart"/>
            <w:r w:rsidRPr="0029622C">
              <w:rPr>
                <w:rFonts w:ascii="Times New Roman" w:hAnsi="Times New Roman" w:cs="Times New Roman"/>
                <w:sz w:val="24"/>
                <w:szCs w:val="24"/>
              </w:rPr>
              <w:t xml:space="preserve">использования атомной энергии), </w:t>
            </w:r>
            <w:bookmarkStart w:id="1" w:name="sub_16"/>
            <w:bookmarkEnd w:id="0"/>
            <w:r w:rsidRPr="0029622C">
              <w:rPr>
                <w:rFonts w:ascii="Times New Roman" w:hAnsi="Times New Roman" w:cs="Times New Roman"/>
                <w:sz w:val="24"/>
                <w:szCs w:val="24"/>
              </w:rPr>
              <w:t>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w:t>
            </w:r>
            <w:bookmarkEnd w:id="1"/>
            <w:r w:rsidRPr="0029622C">
              <w:rPr>
                <w:rFonts w:ascii="Times New Roman" w:hAnsi="Times New Roman" w:cs="Times New Roman"/>
                <w:sz w:val="24"/>
                <w:szCs w:val="24"/>
              </w:rPr>
              <w:t xml:space="preserve">, утвержденные Постановлением Правительства РФ от 24 марта 2011 г. № 207 «О минимально необходимых требованиях к выдаче </w:t>
            </w:r>
            <w:proofErr w:type="spellStart"/>
            <w:r w:rsidRPr="0029622C">
              <w:rPr>
                <w:rFonts w:ascii="Times New Roman" w:hAnsi="Times New Roman" w:cs="Times New Roman"/>
                <w:sz w:val="24"/>
                <w:szCs w:val="24"/>
              </w:rPr>
              <w:t>саморегулируемыми</w:t>
            </w:r>
            <w:proofErr w:type="spellEnd"/>
            <w:r w:rsidRPr="0029622C">
              <w:rPr>
                <w:rFonts w:ascii="Times New Roman" w:hAnsi="Times New Roman" w:cs="Times New Roman"/>
                <w:sz w:val="24"/>
                <w:szCs w:val="24"/>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w:t>
            </w:r>
            <w:proofErr w:type="gramEnd"/>
            <w:r w:rsidRPr="0029622C">
              <w:rPr>
                <w:rFonts w:ascii="Times New Roman" w:hAnsi="Times New Roman" w:cs="Times New Roman"/>
                <w:sz w:val="24"/>
                <w:szCs w:val="24"/>
              </w:rPr>
              <w:t xml:space="preserve"> на безопасность указанных объектов». </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Значит любой потенциальный участник закупки, изъявивший желание принять участие в закупке и отвечающий минимально необходимым требованиям в соответствии с вышеуказанным Постановлением имеет возможность принимать участие в данной закупке.</w:t>
            </w:r>
          </w:p>
          <w:p w:rsidR="0029622C" w:rsidRPr="0029622C" w:rsidRDefault="0029622C" w:rsidP="0029622C">
            <w:pPr>
              <w:ind w:firstLine="708"/>
              <w:jc w:val="both"/>
              <w:rPr>
                <w:rFonts w:ascii="Times New Roman" w:hAnsi="Times New Roman" w:cs="Times New Roman"/>
                <w:sz w:val="24"/>
                <w:szCs w:val="24"/>
              </w:rPr>
            </w:pPr>
            <w:proofErr w:type="gramStart"/>
            <w:r w:rsidRPr="0029622C">
              <w:rPr>
                <w:rFonts w:ascii="Times New Roman" w:hAnsi="Times New Roman" w:cs="Times New Roman"/>
                <w:sz w:val="24"/>
                <w:szCs w:val="24"/>
              </w:rPr>
              <w:t>В соответствии с ч. 2 статьи 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т</w:t>
            </w:r>
            <w:proofErr w:type="gramEnd"/>
            <w:r w:rsidRPr="0029622C">
              <w:rPr>
                <w:rFonts w:ascii="Times New Roman" w:hAnsi="Times New Roman" w:cs="Times New Roman"/>
                <w:sz w:val="24"/>
                <w:szCs w:val="24"/>
              </w:rPr>
              <w:t xml:space="preserve">.е. если мы предъявляем единые требования, как и обязательные, так и дополнительные ко всем участникам закупки, данный факт объединения в  одну закупку и изыскательских и проектных работ не могут являться ограничением конкуренции и противоречить  части 1 статьи 17 Федерального закона от 26 июля 2006 г. № </w:t>
            </w:r>
            <w:r w:rsidRPr="0029622C">
              <w:rPr>
                <w:rFonts w:ascii="Times New Roman" w:hAnsi="Times New Roman" w:cs="Times New Roman"/>
                <w:sz w:val="24"/>
                <w:szCs w:val="24"/>
              </w:rPr>
              <w:lastRenderedPageBreak/>
              <w:t>135-ФЗ «О защите конкуренции».</w:t>
            </w:r>
          </w:p>
          <w:p w:rsidR="0029622C" w:rsidRPr="0029622C" w:rsidRDefault="0029622C" w:rsidP="0029622C">
            <w:pPr>
              <w:ind w:firstLine="708"/>
              <w:jc w:val="both"/>
              <w:rPr>
                <w:rFonts w:ascii="Times New Roman" w:hAnsi="Times New Roman" w:cs="Times New Roman"/>
                <w:sz w:val="24"/>
                <w:szCs w:val="24"/>
              </w:rPr>
            </w:pPr>
            <w:proofErr w:type="gramStart"/>
            <w:r w:rsidRPr="0029622C">
              <w:rPr>
                <w:rFonts w:ascii="Times New Roman" w:hAnsi="Times New Roman" w:cs="Times New Roman"/>
                <w:sz w:val="24"/>
                <w:szCs w:val="24"/>
              </w:rPr>
              <w:t xml:space="preserve">Также частью 3 статьи  17 вышеназванного Закона обозначено, что наряду с установленными </w:t>
            </w:r>
            <w:hyperlink w:anchor="sub_1701" w:history="1">
              <w:r w:rsidRPr="0029622C">
                <w:rPr>
                  <w:rStyle w:val="a4"/>
                  <w:rFonts w:ascii="Times New Roman" w:hAnsi="Times New Roman" w:cs="Times New Roman"/>
                  <w:sz w:val="24"/>
                  <w:szCs w:val="24"/>
                </w:rPr>
                <w:t>частями 1</w:t>
              </w:r>
            </w:hyperlink>
            <w:r w:rsidRPr="0029622C">
              <w:rPr>
                <w:rFonts w:ascii="Times New Roman" w:hAnsi="Times New Roman" w:cs="Times New Roman"/>
                <w:sz w:val="24"/>
                <w:szCs w:val="24"/>
              </w:rPr>
              <w:t xml:space="preserve"> и </w:t>
            </w:r>
            <w:hyperlink w:anchor="sub_1702" w:history="1">
              <w:r w:rsidRPr="0029622C">
                <w:rPr>
                  <w:rStyle w:val="a4"/>
                  <w:rFonts w:ascii="Times New Roman" w:hAnsi="Times New Roman" w:cs="Times New Roman"/>
                  <w:sz w:val="24"/>
                  <w:szCs w:val="24"/>
                </w:rPr>
                <w:t>2</w:t>
              </w:r>
            </w:hyperlink>
            <w:r w:rsidRPr="0029622C">
              <w:rPr>
                <w:rFonts w:ascii="Times New Roman" w:hAnsi="Times New Roman" w:cs="Times New Roman"/>
                <w:sz w:val="24"/>
                <w:szCs w:val="24"/>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w:t>
            </w:r>
            <w:proofErr w:type="gramEnd"/>
            <w:r w:rsidRPr="0029622C">
              <w:rPr>
                <w:rFonts w:ascii="Times New Roman" w:hAnsi="Times New Roman" w:cs="Times New Roman"/>
                <w:sz w:val="24"/>
                <w:szCs w:val="24"/>
              </w:rPr>
              <w:t xml:space="preserve">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29622C" w:rsidRPr="0029622C" w:rsidRDefault="0029622C" w:rsidP="0029622C">
            <w:pPr>
              <w:ind w:firstLine="708"/>
              <w:jc w:val="both"/>
              <w:rPr>
                <w:rFonts w:ascii="Times New Roman" w:hAnsi="Times New Roman" w:cs="Times New Roman"/>
                <w:sz w:val="24"/>
                <w:szCs w:val="24"/>
              </w:rPr>
            </w:pPr>
            <w:proofErr w:type="gramStart"/>
            <w:r w:rsidRPr="0029622C">
              <w:rPr>
                <w:rFonts w:ascii="Times New Roman" w:hAnsi="Times New Roman" w:cs="Times New Roman"/>
                <w:sz w:val="24"/>
                <w:szCs w:val="24"/>
              </w:rPr>
              <w:t xml:space="preserve">Методическое руководство «Технологические правила проектирования объектов строительства», которым мы руководствуемся, при составлении технического задания для инвестиционного цикла,  содержит рекомендации по организации и технологии проектирования, подготовленные в развитие положений международных стандартов качества серии ИСО 9000 и соответствующих государственных стандартов Российской Федерации, а также требований </w:t>
            </w:r>
            <w:proofErr w:type="spellStart"/>
            <w:r w:rsidRPr="0029622C">
              <w:rPr>
                <w:rFonts w:ascii="Times New Roman" w:hAnsi="Times New Roman" w:cs="Times New Roman"/>
                <w:sz w:val="24"/>
                <w:szCs w:val="24"/>
              </w:rPr>
              <w:t>СНиП</w:t>
            </w:r>
            <w:proofErr w:type="spellEnd"/>
            <w:r w:rsidRPr="0029622C">
              <w:rPr>
                <w:rFonts w:ascii="Times New Roman" w:hAnsi="Times New Roman" w:cs="Times New Roman"/>
                <w:sz w:val="24"/>
                <w:szCs w:val="24"/>
              </w:rPr>
              <w:t xml:space="preserve"> 11-01-95 , СП 11-101-95 , </w:t>
            </w:r>
            <w:proofErr w:type="spellStart"/>
            <w:r w:rsidRPr="0029622C">
              <w:rPr>
                <w:rFonts w:ascii="Times New Roman" w:hAnsi="Times New Roman" w:cs="Times New Roman"/>
                <w:sz w:val="24"/>
                <w:szCs w:val="24"/>
              </w:rPr>
              <w:t>РДС</w:t>
            </w:r>
            <w:proofErr w:type="spellEnd"/>
            <w:r w:rsidRPr="0029622C">
              <w:rPr>
                <w:rFonts w:ascii="Times New Roman" w:hAnsi="Times New Roman" w:cs="Times New Roman"/>
                <w:sz w:val="24"/>
                <w:szCs w:val="24"/>
              </w:rPr>
              <w:t xml:space="preserve"> 11-201-95 и др. </w:t>
            </w:r>
            <w:proofErr w:type="gramEnd"/>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 xml:space="preserve">Руководство содержит указания по разработке, оформлению, нормированию и применению технологических процессов проектирования в </w:t>
            </w:r>
            <w:proofErr w:type="gramStart"/>
            <w:r w:rsidRPr="0029622C">
              <w:rPr>
                <w:rFonts w:ascii="Times New Roman" w:hAnsi="Times New Roman" w:cs="Times New Roman"/>
                <w:sz w:val="24"/>
                <w:szCs w:val="24"/>
              </w:rPr>
              <w:t>организациях</w:t>
            </w:r>
            <w:proofErr w:type="gramEnd"/>
            <w:r w:rsidRPr="0029622C">
              <w:rPr>
                <w:rFonts w:ascii="Times New Roman" w:hAnsi="Times New Roman" w:cs="Times New Roman"/>
                <w:sz w:val="24"/>
                <w:szCs w:val="24"/>
              </w:rPr>
              <w:t xml:space="preserve">, разрабатывающих обосновывающую, проектную и рабочую документацию для строительства предприятий, зданий и сооружений. </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 xml:space="preserve">Проектирование представляет собой процесс создания прогностической информационной модели объекта будущего строительства (нового или реконструируемого объекта). </w:t>
            </w:r>
            <w:proofErr w:type="gramStart"/>
            <w:r w:rsidRPr="0029622C">
              <w:rPr>
                <w:rFonts w:ascii="Times New Roman" w:hAnsi="Times New Roman" w:cs="Times New Roman"/>
                <w:sz w:val="24"/>
                <w:szCs w:val="24"/>
              </w:rPr>
              <w:t xml:space="preserve">Информационная модель объекта строительства представляется в виде технической документации установленной формы содержащей сведения об объекте и его связях, которые необходимы и достаточны для принятия решений об инвестиционных вложениях, для строительства, эксплуатации, ремонта (восстановления) и ликвидации </w:t>
            </w:r>
            <w:r w:rsidRPr="0029622C">
              <w:rPr>
                <w:rFonts w:ascii="Times New Roman" w:hAnsi="Times New Roman" w:cs="Times New Roman"/>
                <w:sz w:val="24"/>
                <w:szCs w:val="24"/>
              </w:rPr>
              <w:lastRenderedPageBreak/>
              <w:t>(перепрофилирования, утилизации) конкретного объекта.</w:t>
            </w:r>
            <w:proofErr w:type="gramEnd"/>
            <w:r w:rsidRPr="0029622C">
              <w:rPr>
                <w:rFonts w:ascii="Times New Roman" w:hAnsi="Times New Roman" w:cs="Times New Roman"/>
                <w:sz w:val="24"/>
                <w:szCs w:val="24"/>
              </w:rPr>
              <w:t xml:space="preserve"> Процессы проектирования являются предметом рассмотрения технологии проектирования. </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Следовательно, Проектная документация - это архитектурные, функционально-технологические, конструктивные и инженерно- технические решения по обеспечению строительства или реконструкции объекта капитального строительства.</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Технология проектирования должна обеспечивать выпуск проектной продукции высокого качества с наименьшими затратами труда, времени, финансовых и материально - технических ресурсов. Чем выше технологический уровень (качество технологии) проектного производства, тем более высоким является качество проектных решений и проектной документации. При соблюдении одинакового уровня качества проектной продукции наиболее эффективной технологией следует считать процесс, на реализацию которого затрачивается минимальное количество ресурсов, находящихся в распоряжении проектной организации. Главными из ресурсов являются труд проектировщиков и время разработки проекта, а основными критериями эффективности технологии проектирования следует считать уровень себестоимости (в том числе - трудоёмкости) и показатели производительности труда разработчиков проекта при обеспечении требуемого уровня качества проектной продукции.</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 xml:space="preserve">Под качеством (уровнем качества) проектных решений следует понимать степень соответствия их </w:t>
            </w:r>
            <w:proofErr w:type="spellStart"/>
            <w:proofErr w:type="gramStart"/>
            <w:r w:rsidRPr="0029622C">
              <w:rPr>
                <w:rFonts w:ascii="Times New Roman" w:hAnsi="Times New Roman" w:cs="Times New Roman"/>
                <w:sz w:val="24"/>
                <w:szCs w:val="24"/>
              </w:rPr>
              <w:t>технико</w:t>
            </w:r>
            <w:proofErr w:type="spellEnd"/>
            <w:r w:rsidRPr="0029622C">
              <w:rPr>
                <w:rFonts w:ascii="Times New Roman" w:hAnsi="Times New Roman" w:cs="Times New Roman"/>
                <w:sz w:val="24"/>
                <w:szCs w:val="24"/>
              </w:rPr>
              <w:t xml:space="preserve"> - экономическим</w:t>
            </w:r>
            <w:proofErr w:type="gramEnd"/>
            <w:r w:rsidRPr="0029622C">
              <w:rPr>
                <w:rFonts w:ascii="Times New Roman" w:hAnsi="Times New Roman" w:cs="Times New Roman"/>
                <w:sz w:val="24"/>
                <w:szCs w:val="24"/>
              </w:rPr>
              <w:t xml:space="preserve"> показателям и качественным характеристикам (в том числе: социальным, эстетическим, экологическим и др.), которые устанавливаются заданиями на разработку проекта, а также степень соответствия решений требованиям законодательства, установленным стандартам, нормам и правилам. </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 xml:space="preserve">Под качеством проектной документации следует понимать степень соответствия состава, содержания, объёмов и формы представления проектных документов требованиям действующих нормативов, с </w:t>
            </w:r>
            <w:r w:rsidRPr="0029622C">
              <w:rPr>
                <w:rFonts w:ascii="Times New Roman" w:hAnsi="Times New Roman" w:cs="Times New Roman"/>
                <w:sz w:val="24"/>
                <w:szCs w:val="24"/>
              </w:rPr>
              <w:lastRenderedPageBreak/>
              <w:t>учетом факторов наличия ошибок и уровня графического отображения подлинников и копий документов. Качественной может считаться такая документация, комплектность, объем и содержание которой необходимы и достаточны для эффективного выполнения работ по строительству, эксплуатации и обеспечению последующих стадий жизненного цикла проектируемого объекта.</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 xml:space="preserve">В соответствии с установленным порядком проектного обеспечения строительных инвестиций этапы </w:t>
            </w:r>
            <w:proofErr w:type="spellStart"/>
            <w:r w:rsidRPr="0029622C">
              <w:rPr>
                <w:rFonts w:ascii="Times New Roman" w:hAnsi="Times New Roman" w:cs="Times New Roman"/>
                <w:sz w:val="24"/>
                <w:szCs w:val="24"/>
              </w:rPr>
              <w:t>I</w:t>
            </w:r>
            <w:proofErr w:type="spellEnd"/>
            <w:r w:rsidRPr="0029622C">
              <w:rPr>
                <w:rFonts w:ascii="Times New Roman" w:hAnsi="Times New Roman" w:cs="Times New Roman"/>
                <w:sz w:val="24"/>
                <w:szCs w:val="24"/>
              </w:rPr>
              <w:t xml:space="preserve">, </w:t>
            </w:r>
            <w:proofErr w:type="spellStart"/>
            <w:r w:rsidRPr="0029622C">
              <w:rPr>
                <w:rFonts w:ascii="Times New Roman" w:hAnsi="Times New Roman" w:cs="Times New Roman"/>
                <w:sz w:val="24"/>
                <w:szCs w:val="24"/>
              </w:rPr>
              <w:t>II</w:t>
            </w:r>
            <w:proofErr w:type="spellEnd"/>
            <w:r w:rsidRPr="0029622C">
              <w:rPr>
                <w:rFonts w:ascii="Times New Roman" w:hAnsi="Times New Roman" w:cs="Times New Roman"/>
                <w:sz w:val="24"/>
                <w:szCs w:val="24"/>
              </w:rPr>
              <w:t xml:space="preserve">, </w:t>
            </w:r>
            <w:proofErr w:type="spellStart"/>
            <w:r w:rsidRPr="0029622C">
              <w:rPr>
                <w:rFonts w:ascii="Times New Roman" w:hAnsi="Times New Roman" w:cs="Times New Roman"/>
                <w:sz w:val="24"/>
                <w:szCs w:val="24"/>
              </w:rPr>
              <w:t>III</w:t>
            </w:r>
            <w:proofErr w:type="spellEnd"/>
            <w:r w:rsidRPr="0029622C">
              <w:rPr>
                <w:rFonts w:ascii="Times New Roman" w:hAnsi="Times New Roman" w:cs="Times New Roman"/>
                <w:sz w:val="24"/>
                <w:szCs w:val="24"/>
              </w:rPr>
              <w:t xml:space="preserve"> инвестиционного процесса относятся к «</w:t>
            </w:r>
            <w:proofErr w:type="spellStart"/>
            <w:r w:rsidRPr="0029622C">
              <w:rPr>
                <w:rFonts w:ascii="Times New Roman" w:hAnsi="Times New Roman" w:cs="Times New Roman"/>
                <w:sz w:val="24"/>
                <w:szCs w:val="24"/>
              </w:rPr>
              <w:t>предпроектным</w:t>
            </w:r>
            <w:proofErr w:type="spellEnd"/>
            <w:r w:rsidRPr="0029622C">
              <w:rPr>
                <w:rFonts w:ascii="Times New Roman" w:hAnsi="Times New Roman" w:cs="Times New Roman"/>
                <w:sz w:val="24"/>
                <w:szCs w:val="24"/>
              </w:rPr>
              <w:t xml:space="preserve">» работам, этапы </w:t>
            </w:r>
            <w:proofErr w:type="spellStart"/>
            <w:r w:rsidRPr="0029622C">
              <w:rPr>
                <w:rFonts w:ascii="Times New Roman" w:hAnsi="Times New Roman" w:cs="Times New Roman"/>
                <w:sz w:val="24"/>
                <w:szCs w:val="24"/>
              </w:rPr>
              <w:t>IV</w:t>
            </w:r>
            <w:proofErr w:type="spellEnd"/>
            <w:r w:rsidRPr="0029622C">
              <w:rPr>
                <w:rFonts w:ascii="Times New Roman" w:hAnsi="Times New Roman" w:cs="Times New Roman"/>
                <w:sz w:val="24"/>
                <w:szCs w:val="24"/>
              </w:rPr>
              <w:t xml:space="preserve">, </w:t>
            </w:r>
            <w:proofErr w:type="spellStart"/>
            <w:r w:rsidRPr="0029622C">
              <w:rPr>
                <w:rFonts w:ascii="Times New Roman" w:hAnsi="Times New Roman" w:cs="Times New Roman"/>
                <w:sz w:val="24"/>
                <w:szCs w:val="24"/>
              </w:rPr>
              <w:t>V</w:t>
            </w:r>
            <w:proofErr w:type="spellEnd"/>
            <w:r w:rsidRPr="0029622C">
              <w:rPr>
                <w:rFonts w:ascii="Times New Roman" w:hAnsi="Times New Roman" w:cs="Times New Roman"/>
                <w:sz w:val="24"/>
                <w:szCs w:val="24"/>
              </w:rPr>
              <w:t xml:space="preserve"> составляют собственно «проектирование». В ходе выполнения указанных этапов производится проектная продукция. На остальных этапах инвестиций производятся, как правило, проектные услуги по обеспечению процессов строительства, эксплуатации и прочих этапов жизненного цикла строительного объекта.</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 xml:space="preserve">В технологическом плане разработка проектной продукции на всех </w:t>
            </w:r>
            <w:proofErr w:type="spellStart"/>
            <w:r w:rsidRPr="0029622C">
              <w:rPr>
                <w:rFonts w:ascii="Times New Roman" w:hAnsi="Times New Roman" w:cs="Times New Roman"/>
                <w:sz w:val="24"/>
                <w:szCs w:val="24"/>
              </w:rPr>
              <w:t>предпроектных</w:t>
            </w:r>
            <w:proofErr w:type="spellEnd"/>
            <w:r w:rsidRPr="0029622C">
              <w:rPr>
                <w:rFonts w:ascii="Times New Roman" w:hAnsi="Times New Roman" w:cs="Times New Roman"/>
                <w:sz w:val="24"/>
                <w:szCs w:val="24"/>
              </w:rPr>
              <w:t xml:space="preserve"> и проектных этапах в целом сводится к последовательной реализации одних и тех же видов проектной деятельности - проектных функций. Процессы производства проектных услуг на последующих этапах инвестиционного цикла также базируются на реализации многих видов проектных работ, но одновременно характеризуются некоторыми особенностями и спецификой, которые требуют их отнесения к специальным видам проектной деятельности.</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Также настоящие правила определяют рекомендуемый порядок подготовки и проведения конкурсных торгов (тендеров) для получения подряда на выполнение проектно - изыскательских работ для строительства.</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 xml:space="preserve">Объектами конкурсных торгов могут быть подряды (субподряды) на разработку </w:t>
            </w:r>
            <w:proofErr w:type="spellStart"/>
            <w:r w:rsidRPr="0029622C">
              <w:rPr>
                <w:rFonts w:ascii="Times New Roman" w:hAnsi="Times New Roman" w:cs="Times New Roman"/>
                <w:sz w:val="24"/>
                <w:szCs w:val="24"/>
              </w:rPr>
              <w:t>предпроектной</w:t>
            </w:r>
            <w:proofErr w:type="spellEnd"/>
            <w:r w:rsidRPr="0029622C">
              <w:rPr>
                <w:rFonts w:ascii="Times New Roman" w:hAnsi="Times New Roman" w:cs="Times New Roman"/>
                <w:sz w:val="24"/>
                <w:szCs w:val="24"/>
              </w:rPr>
              <w:t>, проектной и рабочей документации для строительства, а также на проведение необходимых исследований и разработок, оказание других проектных, изыскательских, управленческих, консультационных и прочих услуг на всех этапах инвестиционного процесса.</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 xml:space="preserve">Из всего выше сказанного, следует, что инженерные изыскания, выполненные для </w:t>
            </w:r>
            <w:r w:rsidRPr="0029622C">
              <w:rPr>
                <w:rFonts w:ascii="Times New Roman" w:hAnsi="Times New Roman" w:cs="Times New Roman"/>
                <w:sz w:val="24"/>
                <w:szCs w:val="24"/>
              </w:rPr>
              <w:lastRenderedPageBreak/>
              <w:t>подготовки проектной документации, не могут быть не связанными между собою технологически и функционально. И естественно не могут являться основанием для ограничения конкуренции.</w:t>
            </w:r>
          </w:p>
          <w:p w:rsidR="0029622C" w:rsidRPr="0029622C" w:rsidRDefault="0029622C" w:rsidP="0029622C">
            <w:pPr>
              <w:ind w:firstLine="708"/>
              <w:jc w:val="both"/>
              <w:rPr>
                <w:rFonts w:ascii="Times New Roman" w:hAnsi="Times New Roman" w:cs="Times New Roman"/>
                <w:sz w:val="24"/>
                <w:szCs w:val="24"/>
              </w:rPr>
            </w:pPr>
            <w:r w:rsidRPr="0029622C">
              <w:rPr>
                <w:rFonts w:ascii="Times New Roman" w:hAnsi="Times New Roman" w:cs="Times New Roman"/>
                <w:sz w:val="24"/>
                <w:szCs w:val="24"/>
              </w:rPr>
              <w:t xml:space="preserve">Кроме того, в </w:t>
            </w:r>
            <w:proofErr w:type="gramStart"/>
            <w:r w:rsidRPr="0029622C">
              <w:rPr>
                <w:rFonts w:ascii="Times New Roman" w:hAnsi="Times New Roman" w:cs="Times New Roman"/>
                <w:sz w:val="24"/>
                <w:szCs w:val="24"/>
              </w:rPr>
              <w:t>соответствии</w:t>
            </w:r>
            <w:proofErr w:type="gramEnd"/>
            <w:r w:rsidRPr="0029622C">
              <w:rPr>
                <w:rFonts w:ascii="Times New Roman" w:hAnsi="Times New Roman" w:cs="Times New Roman"/>
                <w:sz w:val="24"/>
                <w:szCs w:val="24"/>
              </w:rPr>
              <w:t xml:space="preserve"> с п. 5..2 ст. 48 Градостроительного кодекса РФ, договором о подготовке проектной документации заключенным заказчиком с юридическим лицом может быть предусмотрено выполнение инженерных изысканий. В этом случае указанное юридическое лицо несёт ответственность за достоверность, качество и полноту выполненных инженерных изысканий. </w:t>
            </w:r>
            <w:proofErr w:type="gramStart"/>
            <w:r w:rsidRPr="0029622C">
              <w:rPr>
                <w:rFonts w:ascii="Times New Roman" w:hAnsi="Times New Roman" w:cs="Times New Roman"/>
                <w:sz w:val="24"/>
                <w:szCs w:val="24"/>
              </w:rPr>
              <w:t>Так как объект проектирования «Реконструкция аэропорта Мильково, Камчатский край» является объектом федеральной целевой программы «Экономическое и социальное развитие Дальнего Востока и Байкальского региона на период до 2018 года», где прописана и утверждена Правительство РФ стоимость проектных работ единой цифрой, в связи с чем, разделение на проектные и изыскательские работы не возможно.</w:t>
            </w:r>
            <w:proofErr w:type="gramEnd"/>
          </w:p>
          <w:p w:rsidR="0029622C" w:rsidRPr="0029622C" w:rsidRDefault="0029622C" w:rsidP="00207257">
            <w:pPr>
              <w:ind w:firstLine="708"/>
              <w:jc w:val="both"/>
              <w:rPr>
                <w:rFonts w:ascii="Times New Roman" w:hAnsi="Times New Roman" w:cs="Times New Roman"/>
                <w:sz w:val="24"/>
                <w:szCs w:val="24"/>
              </w:rPr>
            </w:pPr>
            <w:r w:rsidRPr="0029622C">
              <w:rPr>
                <w:rFonts w:ascii="Times New Roman" w:hAnsi="Times New Roman" w:cs="Times New Roman"/>
                <w:sz w:val="24"/>
                <w:szCs w:val="24"/>
              </w:rPr>
              <w:t>Также до согласования генерального плана реконструкц</w:t>
            </w:r>
            <w:proofErr w:type="gramStart"/>
            <w:r w:rsidRPr="0029622C">
              <w:rPr>
                <w:rFonts w:ascii="Times New Roman" w:hAnsi="Times New Roman" w:cs="Times New Roman"/>
                <w:sz w:val="24"/>
                <w:szCs w:val="24"/>
              </w:rPr>
              <w:t>ии аэ</w:t>
            </w:r>
            <w:proofErr w:type="gramEnd"/>
            <w:r w:rsidRPr="0029622C">
              <w:rPr>
                <w:rFonts w:ascii="Times New Roman" w:hAnsi="Times New Roman" w:cs="Times New Roman"/>
                <w:sz w:val="24"/>
                <w:szCs w:val="24"/>
              </w:rPr>
              <w:t xml:space="preserve">ропорта (размещение проектируемых зданий и сооружений, а также уточнения категории аэропорта) производить геологические, геодезические, гидрологические и другие изыскания </w:t>
            </w:r>
            <w:proofErr w:type="spellStart"/>
            <w:r w:rsidRPr="0029622C">
              <w:rPr>
                <w:rFonts w:ascii="Times New Roman" w:hAnsi="Times New Roman" w:cs="Times New Roman"/>
                <w:sz w:val="24"/>
                <w:szCs w:val="24"/>
              </w:rPr>
              <w:t>нецелообразно</w:t>
            </w:r>
            <w:proofErr w:type="spellEnd"/>
            <w:r w:rsidRPr="0029622C">
              <w:rPr>
                <w:rFonts w:ascii="Times New Roman" w:hAnsi="Times New Roman" w:cs="Times New Roman"/>
                <w:sz w:val="24"/>
                <w:szCs w:val="24"/>
              </w:rPr>
              <w:t>.</w:t>
            </w:r>
          </w:p>
        </w:tc>
      </w:tr>
    </w:tbl>
    <w:p w:rsidR="0029622C" w:rsidRPr="0029622C" w:rsidRDefault="0029622C" w:rsidP="0029622C">
      <w:pPr>
        <w:spacing w:after="0" w:line="240" w:lineRule="auto"/>
        <w:jc w:val="center"/>
        <w:rPr>
          <w:rFonts w:ascii="Times New Roman" w:hAnsi="Times New Roman" w:cs="Times New Roman"/>
          <w:sz w:val="24"/>
          <w:szCs w:val="24"/>
        </w:rPr>
      </w:pPr>
    </w:p>
    <w:sectPr w:rsidR="0029622C" w:rsidRPr="0029622C" w:rsidSect="00E72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characterSpacingControl w:val="doNotCompress"/>
  <w:compat/>
  <w:rsids>
    <w:rsidRoot w:val="0029622C"/>
    <w:rsid w:val="00207257"/>
    <w:rsid w:val="0029622C"/>
    <w:rsid w:val="003050C0"/>
    <w:rsid w:val="00513961"/>
    <w:rsid w:val="00E7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962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2</cp:revision>
  <dcterms:created xsi:type="dcterms:W3CDTF">2016-02-24T02:52:00Z</dcterms:created>
  <dcterms:modified xsi:type="dcterms:W3CDTF">2016-02-24T03:06:00Z</dcterms:modified>
</cp:coreProperties>
</file>