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A01656">
        <w:rPr>
          <w:b/>
          <w:u w:val="single"/>
        </w:rPr>
        <w:t>4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C44BE7" w:rsidRPr="00C44BE7" w:rsidRDefault="00C44BE7" w:rsidP="00054792">
      <w:pPr>
        <w:ind w:firstLine="0"/>
        <w:jc w:val="center"/>
        <w:rPr>
          <w:sz w:val="28"/>
          <w:szCs w:val="28"/>
        </w:rPr>
      </w:pPr>
      <w:r w:rsidRPr="00C44BE7">
        <w:rPr>
          <w:rFonts w:ascii="Arial" w:hAnsi="Arial" w:cs="Arial"/>
          <w:b/>
          <w:bCs/>
          <w:color w:val="0060A4"/>
          <w:sz w:val="28"/>
          <w:szCs w:val="28"/>
        </w:rPr>
        <w:t>31300257749</w:t>
      </w:r>
    </w:p>
    <w:p w:rsidR="00A01656" w:rsidRDefault="00A01656" w:rsidP="00054792">
      <w:pPr>
        <w:shd w:val="clear" w:color="auto" w:fill="FFFFFF"/>
        <w:ind w:firstLine="0"/>
        <w:rPr>
          <w:rFonts w:ascii="Arial" w:hAnsi="Arial" w:cs="Arial"/>
          <w:b/>
          <w:bCs/>
          <w:color w:val="0060A4"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E37826" w:rsidRPr="006E007B" w:rsidRDefault="00E37826" w:rsidP="00E3782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007B">
              <w:rPr>
                <w:b/>
                <w:bCs/>
                <w:sz w:val="28"/>
                <w:szCs w:val="28"/>
              </w:rPr>
              <w:t>ыполнение работ по объекту</w:t>
            </w:r>
          </w:p>
          <w:p w:rsidR="008F3745" w:rsidRPr="0021704A" w:rsidRDefault="00762E9E" w:rsidP="00A01656">
            <w:pPr>
              <w:pStyle w:val="22"/>
              <w:spacing w:after="0"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01656">
              <w:rPr>
                <w:b/>
                <w:bCs/>
                <w:sz w:val="28"/>
                <w:szCs w:val="28"/>
              </w:rPr>
              <w:t>«</w:t>
            </w:r>
            <w:r w:rsidR="00A01656" w:rsidRPr="00CB3FFA">
              <w:rPr>
                <w:b/>
                <w:bCs/>
                <w:sz w:val="28"/>
                <w:szCs w:val="28"/>
              </w:rPr>
              <w:t xml:space="preserve">Капитальный ремонт </w:t>
            </w:r>
            <w:r w:rsidR="00A01656">
              <w:rPr>
                <w:b/>
                <w:bCs/>
                <w:sz w:val="28"/>
                <w:szCs w:val="28"/>
              </w:rPr>
              <w:t>здания гаража аэропорта Палана»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A01656" w:rsidP="003B2108">
            <w:pPr>
              <w:ind w:firstLine="0"/>
              <w:rPr>
                <w:sz w:val="23"/>
                <w:szCs w:val="23"/>
              </w:rPr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Палана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A01656" w:rsidP="004F0EF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t>5 584 802,91 (пять миллионов пятьсот восемьдесят четыре тысячи восемьсот два) рубля 91 копейка (с учетом НДС)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A0165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A01656">
              <w:rPr>
                <w:b/>
                <w:sz w:val="23"/>
                <w:szCs w:val="23"/>
              </w:rPr>
              <w:t>16.04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A01656">
              <w:rPr>
                <w:b/>
                <w:sz w:val="23"/>
                <w:szCs w:val="23"/>
              </w:rPr>
              <w:t>06.05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CD6ADD" w:rsidP="00A0165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A01656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>.0</w:t>
            </w:r>
            <w:r w:rsidR="00A01656">
              <w:rPr>
                <w:b/>
                <w:sz w:val="23"/>
                <w:szCs w:val="23"/>
              </w:rPr>
              <w:t>5</w:t>
            </w:r>
            <w:r w:rsidR="00E37826">
              <w:rPr>
                <w:b/>
                <w:sz w:val="23"/>
                <w:szCs w:val="23"/>
              </w:rPr>
              <w:t>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A01656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A01656">
              <w:rPr>
                <w:sz w:val="23"/>
                <w:szCs w:val="23"/>
              </w:rPr>
              <w:t>13.05</w:t>
            </w:r>
            <w:r w:rsidR="00E37826">
              <w:rPr>
                <w:sz w:val="23"/>
                <w:szCs w:val="23"/>
              </w:rPr>
              <w:t>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A01656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A01656">
              <w:t>1 675 440,87</w:t>
            </w:r>
            <w:r w:rsidR="003B2108">
              <w:t xml:space="preserve"> рублей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8B7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0F13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84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E9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1656"/>
    <w:rsid w:val="00A0249A"/>
    <w:rsid w:val="00A05F4F"/>
    <w:rsid w:val="00A10E87"/>
    <w:rsid w:val="00A110F8"/>
    <w:rsid w:val="00A11FD4"/>
    <w:rsid w:val="00A136A0"/>
    <w:rsid w:val="00A14899"/>
    <w:rsid w:val="00A1491F"/>
    <w:rsid w:val="00A15F7C"/>
    <w:rsid w:val="00A16B1B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30B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4CA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4BE7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ADD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1F39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2012-10-25T22:36:00Z</cp:lastPrinted>
  <dcterms:created xsi:type="dcterms:W3CDTF">2013-04-16T04:11:00Z</dcterms:created>
  <dcterms:modified xsi:type="dcterms:W3CDTF">2013-04-16T04:35:00Z</dcterms:modified>
</cp:coreProperties>
</file>