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632772">
        <w:rPr>
          <w:b/>
          <w:sz w:val="22"/>
          <w:szCs w:val="22"/>
        </w:rPr>
        <w:t>12</w:t>
      </w:r>
      <w:r w:rsidR="00984266" w:rsidRPr="001249ED">
        <w:rPr>
          <w:b/>
          <w:sz w:val="22"/>
          <w:szCs w:val="22"/>
          <w:u w:val="single"/>
        </w:rPr>
        <w:t>/к</w:t>
      </w:r>
      <w:r w:rsidR="00F57EC7">
        <w:rPr>
          <w:b/>
          <w:sz w:val="22"/>
          <w:szCs w:val="22"/>
          <w:u w:val="single"/>
        </w:rPr>
        <w:t>-2014</w:t>
      </w:r>
    </w:p>
    <w:p w:rsidR="00C072A1" w:rsidRPr="00C072A1" w:rsidRDefault="00054792" w:rsidP="00C072A1">
      <w:pPr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</w:p>
    <w:p w:rsidR="00C62917" w:rsidRPr="006A375D" w:rsidRDefault="00F57EC7" w:rsidP="00054792">
      <w:pPr>
        <w:ind w:firstLine="0"/>
        <w:jc w:val="center"/>
        <w:rPr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267F59" w:rsidRPr="00267F59">
        <w:rPr>
          <w:rFonts w:ascii="Arial" w:hAnsi="Arial" w:cs="Arial"/>
          <w:b/>
          <w:bCs/>
          <w:color w:val="0060A4"/>
          <w:sz w:val="28"/>
          <w:szCs w:val="28"/>
        </w:rPr>
        <w:t>31400944924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7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Павинская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632772" w:rsidRDefault="0045024C" w:rsidP="00632772">
            <w:pPr>
              <w:ind w:firstLine="0"/>
              <w:jc w:val="center"/>
              <w:rPr>
                <w:b/>
                <w:i/>
              </w:rPr>
            </w:pPr>
            <w:r w:rsidRPr="00632772">
              <w:rPr>
                <w:b/>
                <w:bCs/>
              </w:rPr>
              <w:t xml:space="preserve">Выполнение </w:t>
            </w:r>
            <w:r w:rsidR="00F210F7" w:rsidRPr="00632772">
              <w:rPr>
                <w:b/>
                <w:bCs/>
              </w:rPr>
              <w:t xml:space="preserve">работ </w:t>
            </w:r>
            <w:r w:rsidR="00632772" w:rsidRPr="00632772">
              <w:rPr>
                <w:b/>
              </w:rPr>
              <w:t>по приобретению и монтажу зала ожидания модульного типа в филиале аэропорт Тиличики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F654C6">
            <w:pPr>
              <w:ind w:firstLine="0"/>
              <w:jc w:val="left"/>
            </w:pPr>
            <w:r w:rsidRPr="00F654C6">
              <w:t xml:space="preserve">Объем </w:t>
            </w:r>
            <w:r w:rsidR="00F654C6" w:rsidRPr="00F654C6">
              <w:t>выполняемых работ</w:t>
            </w:r>
          </w:p>
        </w:tc>
        <w:tc>
          <w:tcPr>
            <w:tcW w:w="6486" w:type="dxa"/>
            <w:vAlign w:val="bottom"/>
          </w:tcPr>
          <w:p w:rsidR="008F3745" w:rsidRPr="00F654C6" w:rsidRDefault="00B344FE" w:rsidP="004F0EF6">
            <w:pPr>
              <w:ind w:firstLine="0"/>
              <w:jc w:val="left"/>
            </w:pPr>
            <w:r w:rsidRPr="00F654C6">
              <w:t>в соответствии с техническим заданием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8D3923">
            <w:pPr>
              <w:ind w:firstLine="0"/>
              <w:jc w:val="left"/>
            </w:pPr>
            <w:r w:rsidRPr="00F654C6">
              <w:t xml:space="preserve">Место </w:t>
            </w:r>
            <w:r>
              <w:t>выполнения работ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11019E">
            <w:pPr>
              <w:ind w:firstLine="0"/>
            </w:pPr>
            <w:r>
              <w:t>Камчатский край, Олюторский район, п. Тиличики</w:t>
            </w:r>
          </w:p>
        </w:tc>
      </w:tr>
      <w:tr w:rsidR="00632772" w:rsidRPr="00F654C6" w:rsidTr="00937561">
        <w:tc>
          <w:tcPr>
            <w:tcW w:w="3085" w:type="dxa"/>
          </w:tcPr>
          <w:p w:rsidR="00632772" w:rsidRPr="00F654C6" w:rsidRDefault="00632772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632772" w:rsidRPr="00EF67E2" w:rsidRDefault="00632772" w:rsidP="00077EBD">
            <w:pPr>
              <w:tabs>
                <w:tab w:val="left" w:pos="720"/>
              </w:tabs>
              <w:ind w:firstLine="0"/>
            </w:pPr>
            <w:r>
              <w:t>5 765 186,00 (пять миллионов семьсот шестьдесят пять тысяч сто восемьдесят шесть) рублей 00 копеек (с учетом НДС)</w:t>
            </w:r>
          </w:p>
        </w:tc>
      </w:tr>
      <w:tr w:rsidR="00F654C6" w:rsidRPr="00F654C6" w:rsidTr="00937561">
        <w:tc>
          <w:tcPr>
            <w:tcW w:w="3085" w:type="dxa"/>
          </w:tcPr>
          <w:p w:rsidR="00F654C6" w:rsidRPr="00F654C6" w:rsidRDefault="00F654C6" w:rsidP="004F0EF6">
            <w:pPr>
              <w:ind w:firstLine="0"/>
              <w:jc w:val="left"/>
            </w:pPr>
          </w:p>
        </w:tc>
        <w:tc>
          <w:tcPr>
            <w:tcW w:w="6486" w:type="dxa"/>
          </w:tcPr>
          <w:p w:rsidR="00F654C6" w:rsidRPr="00F654C6" w:rsidRDefault="00F654C6" w:rsidP="00FD0FC5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F654C6">
              <w:rPr>
                <w:color w:val="C00000"/>
              </w:rPr>
              <w:t>В случае</w:t>
            </w:r>
            <w:proofErr w:type="gramStart"/>
            <w:r w:rsidRPr="00F654C6">
              <w:rPr>
                <w:color w:val="C00000"/>
              </w:rPr>
              <w:t>,</w:t>
            </w:r>
            <w:proofErr w:type="gramEnd"/>
            <w:r w:rsidRPr="00F654C6">
              <w:rPr>
                <w:color w:val="C00000"/>
              </w:rPr>
              <w:t xml:space="preserve"> если участник закупки в соответствии с действующим законодательством не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Место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4F0EF6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209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>Срок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632772">
            <w:pPr>
              <w:ind w:firstLine="0"/>
              <w:jc w:val="left"/>
            </w:pPr>
            <w:r w:rsidRPr="00F654C6">
              <w:t xml:space="preserve">с </w:t>
            </w:r>
            <w:r w:rsidR="00632772">
              <w:rPr>
                <w:b/>
              </w:rPr>
              <w:t>06</w:t>
            </w:r>
            <w:r w:rsidR="0003529F">
              <w:rPr>
                <w:b/>
              </w:rPr>
              <w:t>.03</w:t>
            </w:r>
            <w:r w:rsidRPr="00F654C6">
              <w:rPr>
                <w:b/>
              </w:rPr>
              <w:t>.2014.</w:t>
            </w:r>
            <w:r w:rsidRPr="00F654C6">
              <w:t xml:space="preserve"> по </w:t>
            </w:r>
            <w:r w:rsidR="00632772">
              <w:rPr>
                <w:b/>
              </w:rPr>
              <w:t>08.04</w:t>
            </w:r>
            <w:r w:rsidRPr="00F654C6">
              <w:rPr>
                <w:b/>
              </w:rPr>
              <w:t>.2014</w:t>
            </w:r>
            <w:r w:rsidRPr="00F654C6">
              <w:t xml:space="preserve">,  в рабочие дни с 09-00 до 12-00 и с 13-00 </w:t>
            </w:r>
            <w:proofErr w:type="gramStart"/>
            <w:r w:rsidRPr="00F654C6">
              <w:t>до</w:t>
            </w:r>
            <w:proofErr w:type="gramEnd"/>
            <w:r w:rsidRPr="00F654C6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Порядок подачи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вскрытия и рассмотрения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632772" w:rsidP="00B353F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09.04</w:t>
            </w:r>
            <w:r w:rsidR="00937561" w:rsidRPr="00F654C6">
              <w:rPr>
                <w:b/>
              </w:rPr>
              <w:t>.2014</w:t>
            </w:r>
            <w:r w:rsidR="00F57EC7" w:rsidRPr="00F654C6">
              <w:rPr>
                <w:b/>
              </w:rPr>
              <w:t xml:space="preserve"> г. 10-00</w:t>
            </w:r>
            <w:r w:rsidR="00937561" w:rsidRPr="00F654C6">
              <w:rPr>
                <w:b/>
              </w:rPr>
              <w:t xml:space="preserve"> </w:t>
            </w:r>
            <w:r w:rsidR="00937561" w:rsidRPr="00F654C6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632772" w:rsidP="00634D6D">
            <w:pPr>
              <w:ind w:firstLine="0"/>
              <w:jc w:val="left"/>
            </w:pPr>
            <w:r>
              <w:t>09.04</w:t>
            </w:r>
            <w:r w:rsidR="003F185B" w:rsidRPr="00F654C6">
              <w:t>.2014 г.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63277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 </w:t>
            </w:r>
            <w:r w:rsidR="00632772">
              <w:t>15.04</w:t>
            </w:r>
            <w:r w:rsidR="003F185B" w:rsidRPr="00F654C6">
              <w:t>.2014 г.</w:t>
            </w:r>
            <w:r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открытого конкурса: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</w:t>
            </w:r>
            <w:r w:rsidRPr="00F654C6">
              <w:lastRenderedPageBreak/>
              <w:t>на участие в открытом конкурсе,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D677E7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03529F" w:rsidRPr="007931DC" w:rsidRDefault="0003529F" w:rsidP="00D677E7">
            <w:pPr>
              <w:tabs>
                <w:tab w:val="left" w:pos="540"/>
              </w:tabs>
              <w:ind w:firstLine="45"/>
            </w:pPr>
            <w:r>
              <w:t>Перед заключением договора победитель предоставляет Заказчику на согласование Смету и Календарный график выполнения работ.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D677E7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2013-10-10T02:03:00Z</cp:lastPrinted>
  <dcterms:created xsi:type="dcterms:W3CDTF">2014-03-06T02:40:00Z</dcterms:created>
  <dcterms:modified xsi:type="dcterms:W3CDTF">2014-03-06T03:20:00Z</dcterms:modified>
</cp:coreProperties>
</file>