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A3475B"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A3475B">
        <w:rPr>
          <w:sz w:val="28"/>
          <w:szCs w:val="28"/>
        </w:rPr>
        <w:t>А.Ю.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5C54C1">
        <w:rPr>
          <w:b/>
          <w:sz w:val="32"/>
          <w:szCs w:val="32"/>
        </w:rPr>
        <w:t>1</w:t>
      </w:r>
      <w:r w:rsidR="00A3475B">
        <w:rPr>
          <w:b/>
          <w:sz w:val="32"/>
          <w:szCs w:val="32"/>
        </w:rPr>
        <w:t>2</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C675AF" w:rsidRDefault="0033532E" w:rsidP="006D20F7">
      <w:pPr>
        <w:ind w:firstLine="0"/>
        <w:jc w:val="center"/>
        <w:rPr>
          <w:b/>
          <w:sz w:val="28"/>
          <w:szCs w:val="28"/>
        </w:rPr>
      </w:pPr>
      <w:r>
        <w:rPr>
          <w:sz w:val="28"/>
          <w:szCs w:val="28"/>
        </w:rPr>
        <w:t xml:space="preserve">на </w:t>
      </w:r>
      <w:r w:rsidR="00ED1BAD" w:rsidRPr="00756639">
        <w:rPr>
          <w:b/>
          <w:sz w:val="28"/>
          <w:szCs w:val="28"/>
        </w:rPr>
        <w:t xml:space="preserve">поставку </w:t>
      </w:r>
      <w:r w:rsidR="00A3475B">
        <w:rPr>
          <w:b/>
          <w:sz w:val="28"/>
          <w:szCs w:val="28"/>
        </w:rPr>
        <w:t xml:space="preserve">жидкого </w:t>
      </w:r>
      <w:proofErr w:type="spellStart"/>
      <w:r w:rsidR="00A3475B">
        <w:rPr>
          <w:b/>
          <w:sz w:val="28"/>
          <w:szCs w:val="28"/>
        </w:rPr>
        <w:t>антигололедного</w:t>
      </w:r>
      <w:proofErr w:type="spellEnd"/>
      <w:r w:rsidR="00A3475B">
        <w:rPr>
          <w:b/>
          <w:sz w:val="28"/>
          <w:szCs w:val="28"/>
        </w:rPr>
        <w:t xml:space="preserve"> реагента</w:t>
      </w:r>
      <w:r w:rsidR="00675F37">
        <w:rPr>
          <w:b/>
          <w:sz w:val="28"/>
          <w:szCs w:val="28"/>
        </w:rPr>
        <w:t xml:space="preserve"> </w:t>
      </w:r>
      <w:r w:rsidR="00544641" w:rsidRPr="00544641">
        <w:rPr>
          <w:b/>
          <w:sz w:val="28"/>
          <w:szCs w:val="28"/>
        </w:rPr>
        <w:t>«</w:t>
      </w:r>
      <w:proofErr w:type="spellStart"/>
      <w:r w:rsidR="00544641" w:rsidRPr="00544641">
        <w:rPr>
          <w:b/>
          <w:sz w:val="28"/>
          <w:szCs w:val="28"/>
        </w:rPr>
        <w:t>НордвэйФ</w:t>
      </w:r>
      <w:proofErr w:type="spellEnd"/>
      <w:r w:rsidR="00544641" w:rsidRPr="00544641">
        <w:rPr>
          <w:b/>
          <w:sz w:val="28"/>
          <w:szCs w:val="28"/>
        </w:rPr>
        <w:t>»</w:t>
      </w:r>
    </w:p>
    <w:p w:rsidR="00ED1BAD" w:rsidRPr="00756639" w:rsidRDefault="00A3475B" w:rsidP="006D20F7">
      <w:pPr>
        <w:ind w:firstLine="0"/>
        <w:jc w:val="center"/>
        <w:rPr>
          <w:i/>
          <w:sz w:val="28"/>
          <w:szCs w:val="28"/>
        </w:rPr>
      </w:pPr>
      <w:r>
        <w:rPr>
          <w:b/>
          <w:sz w:val="28"/>
          <w:szCs w:val="28"/>
        </w:rPr>
        <w:t xml:space="preserve"> </w:t>
      </w:r>
      <w:r w:rsidR="00675F37">
        <w:rPr>
          <w:b/>
          <w:sz w:val="28"/>
          <w:szCs w:val="28"/>
        </w:rPr>
        <w:t>для нужд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320FF1" w:rsidRPr="001C01E9" w:rsidRDefault="000C4B73" w:rsidP="00320FF1">
      <w:pPr>
        <w:ind w:firstLine="0"/>
        <w:jc w:val="center"/>
        <w:rPr>
          <w:i/>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320FF1" w:rsidRPr="00B14189">
        <w:rPr>
          <w:rFonts w:ascii="Arial" w:hAnsi="Arial" w:cs="Arial"/>
          <w:b/>
          <w:bCs/>
          <w:color w:val="0060A4"/>
          <w:sz w:val="28"/>
          <w:szCs w:val="28"/>
        </w:rPr>
        <w:t>31401107151</w:t>
      </w:r>
      <w:r w:rsidR="00320FF1">
        <w:rPr>
          <w:rFonts w:ascii="Arial" w:hAnsi="Arial" w:cs="Arial"/>
          <w:b/>
          <w:bCs/>
          <w:color w:val="0060A4"/>
          <w:sz w:val="11"/>
          <w:szCs w:val="11"/>
        </w:rPr>
        <w:t xml:space="preserve">  </w:t>
      </w: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544641" w:rsidRPr="00544641" w:rsidRDefault="00371BD8" w:rsidP="00544641">
            <w:pPr>
              <w:ind w:firstLine="0"/>
              <w:jc w:val="center"/>
              <w:rPr>
                <w:b/>
              </w:rPr>
            </w:pPr>
            <w:r>
              <w:rPr>
                <w:b/>
              </w:rPr>
              <w:t xml:space="preserve">Поставка </w:t>
            </w:r>
            <w:r w:rsidR="00A3475B">
              <w:rPr>
                <w:b/>
              </w:rPr>
              <w:t xml:space="preserve">жидкого </w:t>
            </w:r>
            <w:proofErr w:type="spellStart"/>
            <w:r w:rsidR="00A3475B">
              <w:rPr>
                <w:b/>
              </w:rPr>
              <w:t>антигололедного</w:t>
            </w:r>
            <w:proofErr w:type="spellEnd"/>
            <w:r w:rsidR="00A3475B">
              <w:rPr>
                <w:b/>
              </w:rPr>
              <w:t xml:space="preserve"> реагента</w:t>
            </w:r>
            <w:r w:rsidR="009812E6" w:rsidRPr="009812E6">
              <w:rPr>
                <w:b/>
              </w:rPr>
              <w:t xml:space="preserve"> </w:t>
            </w:r>
            <w:r w:rsidR="00544641" w:rsidRPr="00544641">
              <w:rPr>
                <w:b/>
              </w:rPr>
              <w:t>«</w:t>
            </w:r>
            <w:proofErr w:type="spellStart"/>
            <w:r w:rsidR="00544641" w:rsidRPr="00544641">
              <w:rPr>
                <w:b/>
              </w:rPr>
              <w:t>НордвэйФ</w:t>
            </w:r>
            <w:proofErr w:type="spellEnd"/>
            <w:r w:rsidR="00544641" w:rsidRPr="00544641">
              <w:rPr>
                <w:b/>
              </w:rPr>
              <w:t>»</w:t>
            </w:r>
          </w:p>
          <w:p w:rsidR="00E70BB6" w:rsidRPr="00ED3061" w:rsidRDefault="00A3475B" w:rsidP="00A3475B">
            <w:pPr>
              <w:ind w:firstLine="0"/>
              <w:jc w:val="center"/>
              <w:rPr>
                <w:i/>
              </w:rPr>
            </w:pPr>
            <w:r w:rsidRPr="009812E6">
              <w:rPr>
                <w:b/>
              </w:rPr>
              <w:t xml:space="preserve"> </w:t>
            </w:r>
            <w:r w:rsidR="009812E6" w:rsidRPr="009812E6">
              <w:rPr>
                <w:b/>
              </w:rPr>
              <w:t>для нужд ФКП «Аэропорты Камчатки» в 2014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3666B2" w:rsidTr="005A15DF">
        <w:trPr>
          <w:trHeight w:val="730"/>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3666B2"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604BDB">
        <w:trPr>
          <w:trHeight w:val="274"/>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lastRenderedPageBreak/>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lastRenderedPageBreak/>
              <w:t>6.</w:t>
            </w:r>
          </w:p>
        </w:tc>
        <w:tc>
          <w:tcPr>
            <w:tcW w:w="8859" w:type="dxa"/>
            <w:gridSpan w:val="10"/>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3666B2"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3666B2" w:rsidRDefault="003666B2" w:rsidP="009C6F0E">
            <w:pPr>
              <w:tabs>
                <w:tab w:val="left" w:pos="540"/>
                <w:tab w:val="left" w:pos="900"/>
              </w:tabs>
              <w:ind w:firstLine="0"/>
            </w:pPr>
            <w:r>
              <w:t xml:space="preserve">Камчатский край, г. Петропавловск-Камчатский, </w:t>
            </w:r>
            <w:r w:rsidR="00A3475B">
              <w:t>морской порт</w:t>
            </w:r>
          </w:p>
          <w:p w:rsidR="003666B2" w:rsidRPr="002F44C2" w:rsidRDefault="003666B2" w:rsidP="009C6F0E">
            <w:pPr>
              <w:tabs>
                <w:tab w:val="left" w:pos="540"/>
                <w:tab w:val="left" w:pos="900"/>
              </w:tabs>
              <w:ind w:firstLine="0"/>
            </w:pP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Условия поставки товара:</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49" w:type="dxa"/>
            <w:gridSpan w:val="3"/>
            <w:tcBorders>
              <w:left w:val="single" w:sz="4" w:space="0" w:color="auto"/>
            </w:tcBorders>
          </w:tcPr>
          <w:p w:rsidR="003666B2" w:rsidRPr="00DF6B2A" w:rsidRDefault="000C5506" w:rsidP="006D5652">
            <w:pPr>
              <w:tabs>
                <w:tab w:val="left" w:pos="720"/>
              </w:tabs>
              <w:ind w:firstLine="0"/>
            </w:pPr>
            <w:r w:rsidRPr="006D5652">
              <w:t xml:space="preserve">15 </w:t>
            </w:r>
            <w:r w:rsidR="006D5652">
              <w:t>августа</w:t>
            </w:r>
            <w:r w:rsidR="003666B2" w:rsidRPr="006D5652">
              <w:t xml:space="preserve"> 2014 года</w:t>
            </w:r>
            <w:r w:rsidR="00C675AF">
              <w:t xml:space="preserve"> (возможна досрочная поставка)</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3666B2" w:rsidRPr="00B621EB" w:rsidRDefault="008E6762" w:rsidP="009A2DB3">
            <w:pPr>
              <w:tabs>
                <w:tab w:val="left" w:pos="720"/>
              </w:tabs>
              <w:ind w:firstLine="0"/>
              <w:rPr>
                <w:bCs/>
              </w:rPr>
            </w:pPr>
            <w:r>
              <w:t>О</w:t>
            </w:r>
            <w:r w:rsidR="003666B2" w:rsidRPr="009D2C2E">
              <w:t>плата</w:t>
            </w:r>
            <w:r>
              <w:t xml:space="preserve"> в размере 10</w:t>
            </w:r>
            <w:r w:rsidR="003666B2">
              <w:t>0%</w:t>
            </w:r>
            <w:r w:rsidR="003666B2"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6D5652">
              <w:t>1</w:t>
            </w:r>
            <w:r w:rsidR="003666B2">
              <w:t>5</w:t>
            </w:r>
            <w:r w:rsidR="003666B2" w:rsidRPr="009D2C2E">
              <w:t xml:space="preserve">-ти дней </w:t>
            </w:r>
            <w:r w:rsidR="003666B2" w:rsidRPr="009D2C2E">
              <w:rPr>
                <w:bCs/>
              </w:rPr>
              <w:t xml:space="preserve">со дня, следующего за днем </w:t>
            </w:r>
            <w:r w:rsidR="003666B2" w:rsidRPr="009D2C2E">
              <w:t>поставки товара</w:t>
            </w:r>
            <w:r w:rsidR="003666B2" w:rsidRPr="009D2C2E">
              <w:rPr>
                <w:bCs/>
              </w:rPr>
              <w:t>, на основании выставленного счета.</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A3475B" w:rsidP="00A3475B">
            <w:pPr>
              <w:pStyle w:val="Style7"/>
              <w:widowControl/>
              <w:tabs>
                <w:tab w:val="left" w:pos="566"/>
              </w:tabs>
              <w:spacing w:line="240" w:lineRule="auto"/>
              <w:ind w:firstLine="0"/>
              <w:jc w:val="both"/>
              <w:rPr>
                <w:rFonts w:ascii="Times New Roman" w:hAnsi="Times New Roman"/>
              </w:rPr>
            </w:pPr>
            <w:r>
              <w:rPr>
                <w:rFonts w:ascii="Times New Roman" w:hAnsi="Times New Roman"/>
              </w:rPr>
              <w:t>510 000</w:t>
            </w:r>
            <w:r w:rsidR="003666B2" w:rsidRPr="003666B2">
              <w:rPr>
                <w:rFonts w:ascii="Times New Roman" w:hAnsi="Times New Roman"/>
              </w:rPr>
              <w:t>,00 (</w:t>
            </w:r>
            <w:r>
              <w:rPr>
                <w:rFonts w:ascii="Times New Roman" w:hAnsi="Times New Roman"/>
              </w:rPr>
              <w:t>пятьсот десять</w:t>
            </w:r>
            <w:r w:rsidR="000C5506">
              <w:rPr>
                <w:rFonts w:ascii="Times New Roman" w:hAnsi="Times New Roman"/>
              </w:rPr>
              <w:t xml:space="preserve"> тысяч</w:t>
            </w:r>
            <w:r w:rsidR="003666B2" w:rsidRPr="003666B2">
              <w:rPr>
                <w:rFonts w:ascii="Times New Roman" w:hAnsi="Times New Roman"/>
              </w:rPr>
              <w:t>) рублей 00 копеек, с учетом НДС</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3666B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666B2" w:rsidRDefault="003666B2"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3666B2" w:rsidRPr="00B80149" w:rsidRDefault="003666B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w:t>
            </w:r>
            <w:r w:rsidR="005C54C1">
              <w:rPr>
                <w:rFonts w:ascii="Times New Roman" w:hAnsi="Times New Roman" w:cs="Times New Roman"/>
                <w:sz w:val="24"/>
              </w:rPr>
              <w:t xml:space="preserve">ой форме в </w:t>
            </w:r>
            <w:proofErr w:type="gramStart"/>
            <w:r w:rsidR="005C54C1">
              <w:rPr>
                <w:rFonts w:ascii="Times New Roman" w:hAnsi="Times New Roman" w:cs="Times New Roman"/>
                <w:sz w:val="24"/>
              </w:rPr>
              <w:t>запечатанном</w:t>
            </w:r>
            <w:proofErr w:type="gramEnd"/>
            <w:r w:rsidR="005C54C1">
              <w:rPr>
                <w:rFonts w:ascii="Times New Roman" w:hAnsi="Times New Roman" w:cs="Times New Roman"/>
                <w:sz w:val="24"/>
              </w:rPr>
              <w:t xml:space="preserve"> конверт</w:t>
            </w:r>
            <w:r w:rsidRPr="00B80149">
              <w:rPr>
                <w:rFonts w:ascii="Times New Roman" w:hAnsi="Times New Roman" w:cs="Times New Roman"/>
                <w:sz w:val="24"/>
              </w:rPr>
              <w:t>.</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w:t>
            </w:r>
            <w:r w:rsidRPr="00E62595">
              <w:lastRenderedPageBreak/>
              <w:t xml:space="preserve">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28595E"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3666B2" w:rsidRPr="00604BDB" w:rsidRDefault="008E6762" w:rsidP="00604BDB">
            <w:pPr>
              <w:widowControl w:val="0"/>
              <w:adjustRightInd w:val="0"/>
              <w:ind w:firstLine="34"/>
              <w:jc w:val="left"/>
              <w:rPr>
                <w:color w:val="000000"/>
              </w:rPr>
            </w:pPr>
            <w:r w:rsidRPr="00604BDB">
              <w:rPr>
                <w:b/>
              </w:rPr>
              <w:t xml:space="preserve">с </w:t>
            </w:r>
            <w:r w:rsidR="00604BDB" w:rsidRPr="00604BDB">
              <w:rPr>
                <w:b/>
              </w:rPr>
              <w:t>25.04</w:t>
            </w:r>
            <w:r w:rsidR="003666B2" w:rsidRPr="00604BDB">
              <w:rPr>
                <w:b/>
              </w:rPr>
              <w:t xml:space="preserve">.2014 г. по </w:t>
            </w:r>
            <w:r w:rsidR="00604BDB" w:rsidRPr="00604BDB">
              <w:rPr>
                <w:b/>
              </w:rPr>
              <w:t>12.05</w:t>
            </w:r>
            <w:r w:rsidR="003666B2" w:rsidRPr="00604BDB">
              <w:rPr>
                <w:b/>
              </w:rPr>
              <w:t>.2014 г.,</w:t>
            </w:r>
            <w:r w:rsidR="003666B2" w:rsidRPr="00604BDB">
              <w:t xml:space="preserve"> в рабочие дни с 09-00 до 12-00 и с 13-00 </w:t>
            </w:r>
            <w:proofErr w:type="gramStart"/>
            <w:r w:rsidR="003666B2" w:rsidRPr="00604BDB">
              <w:t>до</w:t>
            </w:r>
            <w:proofErr w:type="gramEnd"/>
            <w:r w:rsidR="003666B2" w:rsidRPr="00604BDB">
              <w:t xml:space="preserve"> 17-00; в пятницу с 09-до 13-00 (время Камчатское)</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3666B2" w:rsidRPr="00604BDB" w:rsidRDefault="003666B2" w:rsidP="00604BDB">
            <w:pPr>
              <w:widowControl w:val="0"/>
              <w:adjustRightInd w:val="0"/>
              <w:ind w:firstLine="34"/>
              <w:jc w:val="left"/>
              <w:rPr>
                <w:b/>
              </w:rPr>
            </w:pPr>
            <w:r w:rsidRPr="00604BDB">
              <w:rPr>
                <w:b/>
              </w:rPr>
              <w:t xml:space="preserve">не  позднее </w:t>
            </w:r>
            <w:r w:rsidR="00604BDB" w:rsidRPr="00604BDB">
              <w:rPr>
                <w:b/>
              </w:rPr>
              <w:t>12.05</w:t>
            </w:r>
            <w:r w:rsidRPr="00604BDB">
              <w:rPr>
                <w:b/>
              </w:rPr>
              <w:t>.2014 г., 17-00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C675AF">
        <w:trPr>
          <w:trHeight w:val="558"/>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lastRenderedPageBreak/>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w:t>
            </w:r>
            <w:r w:rsidRPr="008C4885">
              <w:rPr>
                <w:color w:val="000000"/>
              </w:rPr>
              <w:lastRenderedPageBreak/>
              <w:t>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9B4538" w:rsidRDefault="00D62274" w:rsidP="009D4D2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w:t>
            </w:r>
            <w:r w:rsidR="005C54C1">
              <w:rPr>
                <w:color w:val="000000"/>
              </w:rPr>
              <w:t>, 4</w:t>
            </w:r>
            <w:r>
              <w:rPr>
                <w:color w:val="00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копии либо оригинал </w:t>
            </w:r>
            <w:r>
              <w:rPr>
                <w:color w:val="000000"/>
              </w:rPr>
              <w:lastRenderedPageBreak/>
              <w:t>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604BDB">
        <w:trPr>
          <w:trHeight w:val="278"/>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F720B" w:rsidRDefault="003666B2"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w:t>
            </w:r>
            <w:r w:rsidRPr="00EF720B">
              <w:lastRenderedPageBreak/>
              <w:t>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xml:space="preserve">) и такие </w:t>
            </w:r>
            <w:r w:rsidRPr="00B2409A">
              <w:lastRenderedPageBreak/>
              <w:t>конверты и заявки возвращаются участникам закупки.</w:t>
            </w:r>
            <w:proofErr w:type="gramEnd"/>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604BDB">
            <w:pPr>
              <w:ind w:firstLine="0"/>
              <w:jc w:val="left"/>
              <w:rPr>
                <w:color w:val="000000"/>
              </w:rPr>
            </w:pPr>
            <w:r>
              <w:rPr>
                <w:color w:val="000000"/>
              </w:rPr>
              <w:t xml:space="preserve">Дата и время проведения запроса </w:t>
            </w:r>
            <w:r w:rsidRPr="003735F9">
              <w:rPr>
                <w:color w:val="000000"/>
              </w:rPr>
              <w:t>цен</w:t>
            </w:r>
            <w:r w:rsidRPr="00CD283B">
              <w:t xml:space="preserve">: </w:t>
            </w:r>
            <w:r w:rsidR="00604BDB" w:rsidRPr="00604BDB">
              <w:t>13.05</w:t>
            </w:r>
            <w:r w:rsidRPr="00604BDB">
              <w:t>.2014</w:t>
            </w:r>
            <w:r w:rsidRPr="00CD283B">
              <w:t xml:space="preserve"> </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Default="003666B2"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E708F2">
            <w:r>
              <w:t>В случае</w:t>
            </w:r>
            <w:proofErr w:type="gramStart"/>
            <w:r>
              <w:t>,</w:t>
            </w:r>
            <w:proofErr w:type="gramEnd"/>
            <w:r>
              <w:t xml:space="preserve"> если заявки на участие в запросе цен не соответствует требованиям, </w:t>
            </w:r>
            <w:r>
              <w:lastRenderedPageBreak/>
              <w:t>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3666B2" w:rsidRPr="00E62595" w:rsidRDefault="003666B2"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666B2" w:rsidRPr="007931DC" w:rsidRDefault="003666B2" w:rsidP="003C7618">
            <w:pPr>
              <w:tabs>
                <w:tab w:val="left" w:pos="540"/>
              </w:tabs>
            </w:pPr>
            <w:r>
              <w:lastRenderedPageBreak/>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666B2"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666B2" w:rsidRPr="007931DC" w:rsidRDefault="003666B2"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3666B2" w:rsidRDefault="003666B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3666B2" w:rsidRPr="00E41A2C" w:rsidRDefault="003666B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666B2"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666B2"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3666B2" w:rsidRPr="007931DC" w:rsidRDefault="003666B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3C7618">
            <w:pPr>
              <w:tabs>
                <w:tab w:val="left" w:pos="540"/>
                <w:tab w:val="num" w:pos="1080"/>
              </w:tabs>
            </w:pPr>
            <w:r>
              <w:t xml:space="preserve">2) </w:t>
            </w:r>
            <w:r w:rsidRPr="007931DC">
              <w:t>сроки исполнения обязательств по договору</w:t>
            </w:r>
            <w:r>
              <w:t>:</w:t>
            </w:r>
          </w:p>
          <w:p w:rsidR="003666B2" w:rsidRDefault="003666B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3C7618">
            <w:pPr>
              <w:tabs>
                <w:tab w:val="left" w:pos="540"/>
                <w:tab w:val="num" w:pos="1080"/>
              </w:tabs>
            </w:pPr>
            <w:r>
              <w:t>б) при возникновении срытых работ;</w:t>
            </w:r>
          </w:p>
          <w:p w:rsidR="003666B2" w:rsidRPr="007931DC" w:rsidRDefault="003666B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3C7618">
            <w:pPr>
              <w:tabs>
                <w:tab w:val="left" w:pos="540"/>
                <w:tab w:val="num" w:pos="1080"/>
              </w:tabs>
            </w:pPr>
            <w:r>
              <w:t xml:space="preserve">3) </w:t>
            </w:r>
            <w:r w:rsidRPr="007931DC">
              <w:t>цену договора:</w:t>
            </w:r>
          </w:p>
          <w:p w:rsidR="003666B2" w:rsidRPr="007931DC" w:rsidRDefault="003666B2" w:rsidP="003C7618">
            <w:pPr>
              <w:tabs>
                <w:tab w:val="left" w:pos="540"/>
                <w:tab w:val="num" w:pos="1080"/>
              </w:tabs>
            </w:pPr>
            <w:r w:rsidRPr="007931DC">
              <w:t xml:space="preserve">- путем ее уменьшения без изменения иных условий исполнения </w:t>
            </w:r>
            <w:r>
              <w:t>договора;</w:t>
            </w:r>
          </w:p>
          <w:p w:rsidR="003666B2" w:rsidRPr="007931DC" w:rsidRDefault="003666B2"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666B2" w:rsidRPr="00262E0D" w:rsidRDefault="003666B2" w:rsidP="003C7618">
            <w:r w:rsidRPr="00262E0D">
              <w:lastRenderedPageBreak/>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3C7618">
            <w:r>
              <w:t>4) сведения об участнике закупки, с которым заключается договор.</w:t>
            </w:r>
          </w:p>
          <w:p w:rsidR="003666B2" w:rsidRPr="007931DC" w:rsidRDefault="003666B2"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A3475B" w:rsidRDefault="00A3475B" w:rsidP="00A3475B">
      <w:pPr>
        <w:jc w:val="center"/>
        <w:rPr>
          <w:b/>
        </w:rPr>
      </w:pPr>
      <w:r>
        <w:rPr>
          <w:b/>
        </w:rPr>
        <w:t>Техническое задание</w:t>
      </w:r>
    </w:p>
    <w:p w:rsidR="00A3475B" w:rsidRDefault="00A3475B" w:rsidP="00A3475B">
      <w:pPr>
        <w:jc w:val="center"/>
        <w:rPr>
          <w:b/>
        </w:rPr>
      </w:pPr>
      <w:r>
        <w:rPr>
          <w:b/>
        </w:rPr>
        <w:t xml:space="preserve">на  поставку жидкого </w:t>
      </w:r>
      <w:proofErr w:type="spellStart"/>
      <w:r>
        <w:rPr>
          <w:b/>
        </w:rPr>
        <w:t>антигололедного</w:t>
      </w:r>
      <w:proofErr w:type="spellEnd"/>
      <w:r>
        <w:rPr>
          <w:b/>
        </w:rPr>
        <w:t xml:space="preserve"> реагента </w:t>
      </w:r>
      <w:r w:rsidR="00C675AF">
        <w:rPr>
          <w:b/>
        </w:rPr>
        <w:t>«</w:t>
      </w:r>
      <w:proofErr w:type="spellStart"/>
      <w:r w:rsidR="00C675AF">
        <w:rPr>
          <w:b/>
        </w:rPr>
        <w:t>Нордвэй</w:t>
      </w:r>
      <w:r>
        <w:rPr>
          <w:b/>
        </w:rPr>
        <w:t>Ф</w:t>
      </w:r>
      <w:proofErr w:type="spellEnd"/>
      <w:r w:rsidR="00C675AF">
        <w:rPr>
          <w:b/>
        </w:rPr>
        <w:t>»</w:t>
      </w:r>
      <w:r>
        <w:rPr>
          <w:b/>
        </w:rPr>
        <w:t xml:space="preserve"> </w:t>
      </w:r>
    </w:p>
    <w:p w:rsidR="00A3475B" w:rsidRPr="00894A00" w:rsidRDefault="00A3475B" w:rsidP="00A3475B">
      <w:pPr>
        <w:autoSpaceDE w:val="0"/>
        <w:autoSpaceDN w:val="0"/>
        <w:adjustRightInd w:val="0"/>
        <w:spacing w:before="120" w:after="120"/>
        <w:outlineLvl w:val="1"/>
        <w:rPr>
          <w:b/>
          <w:szCs w:val="28"/>
          <w:u w:val="single"/>
        </w:rPr>
      </w:pPr>
      <w:proofErr w:type="spellStart"/>
      <w:r w:rsidRPr="00894A00">
        <w:rPr>
          <w:b/>
          <w:szCs w:val="28"/>
          <w:u w:val="single"/>
        </w:rPr>
        <w:t>Антигололедный</w:t>
      </w:r>
      <w:proofErr w:type="spellEnd"/>
      <w:r w:rsidRPr="00894A00">
        <w:rPr>
          <w:b/>
          <w:szCs w:val="28"/>
          <w:u w:val="single"/>
        </w:rPr>
        <w:t xml:space="preserve"> реагент </w:t>
      </w:r>
      <w:r w:rsidR="00C675AF">
        <w:rPr>
          <w:b/>
          <w:szCs w:val="28"/>
          <w:u w:val="single"/>
        </w:rPr>
        <w:t>«</w:t>
      </w:r>
      <w:proofErr w:type="spellStart"/>
      <w:r w:rsidRPr="00894A00">
        <w:rPr>
          <w:b/>
          <w:szCs w:val="28"/>
          <w:u w:val="single"/>
        </w:rPr>
        <w:t>НордвэйФ</w:t>
      </w:r>
      <w:proofErr w:type="spellEnd"/>
      <w:r w:rsidR="00C675AF">
        <w:rPr>
          <w:b/>
          <w:szCs w:val="28"/>
          <w:u w:val="single"/>
        </w:rPr>
        <w:t>»</w:t>
      </w:r>
      <w:r w:rsidR="006D5652">
        <w:rPr>
          <w:b/>
          <w:szCs w:val="28"/>
          <w:u w:val="single"/>
        </w:rPr>
        <w:t xml:space="preserve"> в количестве 5 (пяти) тонн</w:t>
      </w:r>
    </w:p>
    <w:p w:rsidR="00A3475B" w:rsidRPr="00894A00" w:rsidRDefault="00A3475B" w:rsidP="00A3475B">
      <w:pPr>
        <w:autoSpaceDE w:val="0"/>
        <w:autoSpaceDN w:val="0"/>
        <w:adjustRightInd w:val="0"/>
        <w:spacing w:before="120"/>
        <w:outlineLvl w:val="1"/>
        <w:rPr>
          <w:szCs w:val="28"/>
        </w:rPr>
      </w:pPr>
      <w:r w:rsidRPr="00894A00">
        <w:rPr>
          <w:szCs w:val="28"/>
        </w:rPr>
        <w:t xml:space="preserve">Жидкий </w:t>
      </w:r>
      <w:proofErr w:type="spellStart"/>
      <w:r w:rsidRPr="00894A00">
        <w:rPr>
          <w:szCs w:val="28"/>
        </w:rPr>
        <w:t>антигололедный</w:t>
      </w:r>
      <w:proofErr w:type="spellEnd"/>
      <w:r w:rsidRPr="00894A00">
        <w:rPr>
          <w:szCs w:val="28"/>
        </w:rPr>
        <w:t xml:space="preserve"> реагент на основе формиата калия разработан с учетом заявок потребителей, заинтересованных в </w:t>
      </w:r>
      <w:proofErr w:type="spellStart"/>
      <w:r w:rsidRPr="00894A00">
        <w:rPr>
          <w:szCs w:val="28"/>
        </w:rPr>
        <w:t>антигололедных</w:t>
      </w:r>
      <w:proofErr w:type="spellEnd"/>
      <w:r w:rsidRPr="00894A00">
        <w:rPr>
          <w:szCs w:val="28"/>
        </w:rPr>
        <w:t xml:space="preserve"> материалах, предназначенных для применения в экстремальных климатических условиях, и в тоже время имеющих высокие экологические характеристики.</w:t>
      </w:r>
    </w:p>
    <w:p w:rsidR="00A3475B" w:rsidRPr="00894A00" w:rsidRDefault="00C675AF" w:rsidP="00A3475B">
      <w:pPr>
        <w:autoSpaceDE w:val="0"/>
        <w:autoSpaceDN w:val="0"/>
        <w:adjustRightInd w:val="0"/>
        <w:spacing w:before="120"/>
        <w:outlineLvl w:val="1"/>
        <w:rPr>
          <w:szCs w:val="28"/>
        </w:rPr>
      </w:pPr>
      <w:r>
        <w:rPr>
          <w:szCs w:val="28"/>
        </w:rPr>
        <w:t>Ж</w:t>
      </w:r>
      <w:r w:rsidR="00A3475B" w:rsidRPr="00894A00">
        <w:rPr>
          <w:szCs w:val="28"/>
        </w:rPr>
        <w:t xml:space="preserve">идкий </w:t>
      </w:r>
      <w:proofErr w:type="spellStart"/>
      <w:r w:rsidR="00A3475B" w:rsidRPr="00894A00">
        <w:rPr>
          <w:szCs w:val="28"/>
        </w:rPr>
        <w:t>формиатный</w:t>
      </w:r>
      <w:proofErr w:type="spellEnd"/>
      <w:r w:rsidR="00A3475B" w:rsidRPr="00894A00">
        <w:rPr>
          <w:szCs w:val="28"/>
        </w:rPr>
        <w:t xml:space="preserve"> </w:t>
      </w:r>
      <w:proofErr w:type="spellStart"/>
      <w:r w:rsidR="00A3475B" w:rsidRPr="00894A00">
        <w:rPr>
          <w:szCs w:val="28"/>
        </w:rPr>
        <w:t>антигололедный</w:t>
      </w:r>
      <w:proofErr w:type="spellEnd"/>
      <w:r w:rsidR="00A3475B" w:rsidRPr="00894A00">
        <w:rPr>
          <w:szCs w:val="28"/>
        </w:rPr>
        <w:t xml:space="preserve"> реагент </w:t>
      </w:r>
      <w:r>
        <w:rPr>
          <w:szCs w:val="28"/>
        </w:rPr>
        <w:t>«</w:t>
      </w:r>
      <w:proofErr w:type="spellStart"/>
      <w:r w:rsidR="00A3475B" w:rsidRPr="00894A00">
        <w:rPr>
          <w:szCs w:val="28"/>
        </w:rPr>
        <w:t>Н</w:t>
      </w:r>
      <w:r w:rsidRPr="00894A00">
        <w:rPr>
          <w:szCs w:val="28"/>
        </w:rPr>
        <w:t>ордвэй</w:t>
      </w:r>
      <w:r w:rsidR="00A3475B" w:rsidRPr="00894A00">
        <w:rPr>
          <w:szCs w:val="28"/>
        </w:rPr>
        <w:t>Ф</w:t>
      </w:r>
      <w:proofErr w:type="spellEnd"/>
      <w:r>
        <w:rPr>
          <w:szCs w:val="28"/>
        </w:rPr>
        <w:t>»</w:t>
      </w:r>
      <w:r w:rsidR="00A3475B" w:rsidRPr="00894A00">
        <w:rPr>
          <w:szCs w:val="28"/>
        </w:rPr>
        <w:t xml:space="preserve"> </w:t>
      </w:r>
      <w:r>
        <w:rPr>
          <w:szCs w:val="28"/>
        </w:rPr>
        <w:t>не должен иметь</w:t>
      </w:r>
      <w:r w:rsidR="00A3475B" w:rsidRPr="00894A00">
        <w:rPr>
          <w:szCs w:val="28"/>
        </w:rPr>
        <w:t xml:space="preserve"> характерного запаха, обладат</w:t>
      </w:r>
      <w:r>
        <w:rPr>
          <w:szCs w:val="28"/>
        </w:rPr>
        <w:t>ь</w:t>
      </w:r>
      <w:r w:rsidR="00A3475B" w:rsidRPr="00894A00">
        <w:rPr>
          <w:szCs w:val="28"/>
        </w:rPr>
        <w:t xml:space="preserve"> меньшим временем </w:t>
      </w:r>
      <w:proofErr w:type="spellStart"/>
      <w:r w:rsidR="00A3475B" w:rsidRPr="00894A00">
        <w:rPr>
          <w:szCs w:val="28"/>
        </w:rPr>
        <w:t>биораспада</w:t>
      </w:r>
      <w:proofErr w:type="spellEnd"/>
      <w:r w:rsidR="00A3475B" w:rsidRPr="00894A00">
        <w:rPr>
          <w:szCs w:val="28"/>
        </w:rPr>
        <w:t xml:space="preserve"> и несколько лучшими эксплуатационными характеристиками.</w:t>
      </w:r>
    </w:p>
    <w:p w:rsidR="00A3475B" w:rsidRPr="00C675AF" w:rsidRDefault="00A3475B" w:rsidP="00A3475B">
      <w:pPr>
        <w:autoSpaceDE w:val="0"/>
        <w:autoSpaceDN w:val="0"/>
        <w:adjustRightInd w:val="0"/>
        <w:spacing w:before="120"/>
        <w:outlineLvl w:val="1"/>
        <w:rPr>
          <w:b/>
          <w:szCs w:val="28"/>
        </w:rPr>
      </w:pPr>
      <w:r w:rsidRPr="00894A00">
        <w:rPr>
          <w:szCs w:val="28"/>
        </w:rPr>
        <w:t xml:space="preserve"> </w:t>
      </w:r>
      <w:proofErr w:type="spellStart"/>
      <w:r w:rsidRPr="00894A00">
        <w:rPr>
          <w:szCs w:val="28"/>
        </w:rPr>
        <w:t>Антигололедный</w:t>
      </w:r>
      <w:proofErr w:type="spellEnd"/>
      <w:r w:rsidRPr="00894A00">
        <w:rPr>
          <w:szCs w:val="28"/>
        </w:rPr>
        <w:t xml:space="preserve"> реагент </w:t>
      </w:r>
      <w:r w:rsidR="00C675AF">
        <w:rPr>
          <w:szCs w:val="28"/>
        </w:rPr>
        <w:t>«</w:t>
      </w:r>
      <w:proofErr w:type="spellStart"/>
      <w:r w:rsidRPr="00894A00">
        <w:rPr>
          <w:szCs w:val="28"/>
        </w:rPr>
        <w:t>Н</w:t>
      </w:r>
      <w:r w:rsidR="00C675AF" w:rsidRPr="00894A00">
        <w:rPr>
          <w:szCs w:val="28"/>
        </w:rPr>
        <w:t>ордвэй</w:t>
      </w:r>
      <w:r w:rsidRPr="00894A00">
        <w:rPr>
          <w:szCs w:val="28"/>
        </w:rPr>
        <w:t>Ф</w:t>
      </w:r>
      <w:proofErr w:type="spellEnd"/>
      <w:r w:rsidR="00C675AF">
        <w:rPr>
          <w:szCs w:val="28"/>
        </w:rPr>
        <w:t>»</w:t>
      </w:r>
      <w:r w:rsidRPr="00894A00">
        <w:rPr>
          <w:szCs w:val="28"/>
        </w:rPr>
        <w:t xml:space="preserve"> полностью</w:t>
      </w:r>
      <w:r w:rsidR="00C675AF">
        <w:rPr>
          <w:szCs w:val="28"/>
        </w:rPr>
        <w:t xml:space="preserve"> должен соответствова</w:t>
      </w:r>
      <w:r w:rsidRPr="00894A00">
        <w:rPr>
          <w:szCs w:val="28"/>
        </w:rPr>
        <w:t>т</w:t>
      </w:r>
      <w:r w:rsidR="00C675AF">
        <w:rPr>
          <w:szCs w:val="28"/>
        </w:rPr>
        <w:t>ь</w:t>
      </w:r>
      <w:r w:rsidRPr="00894A00">
        <w:rPr>
          <w:szCs w:val="28"/>
        </w:rPr>
        <w:t xml:space="preserve"> требованиям российских и международных стандартов авиационной, дорожной и </w:t>
      </w:r>
      <w:r w:rsidR="00C675AF">
        <w:rPr>
          <w:szCs w:val="28"/>
        </w:rPr>
        <w:t>экологической безопасности. Име</w:t>
      </w:r>
      <w:r w:rsidRPr="00894A00">
        <w:rPr>
          <w:szCs w:val="28"/>
        </w:rPr>
        <w:t>т</w:t>
      </w:r>
      <w:r w:rsidR="00C675AF">
        <w:rPr>
          <w:szCs w:val="28"/>
        </w:rPr>
        <w:t>ь</w:t>
      </w:r>
      <w:r w:rsidRPr="00894A00">
        <w:rPr>
          <w:szCs w:val="28"/>
        </w:rPr>
        <w:t xml:space="preserve"> сертификаты соответствия SMI (AMS 1435) ФАВТ (А.09.02252)</w:t>
      </w:r>
      <w:proofErr w:type="gramStart"/>
      <w:r w:rsidRPr="00894A00">
        <w:rPr>
          <w:szCs w:val="28"/>
        </w:rPr>
        <w:t>.</w:t>
      </w:r>
      <w:proofErr w:type="gramEnd"/>
      <w:r w:rsidR="00C675AF">
        <w:rPr>
          <w:szCs w:val="28"/>
        </w:rPr>
        <w:t xml:space="preserve"> </w:t>
      </w:r>
      <w:r w:rsidR="00C675AF" w:rsidRPr="00C675AF">
        <w:rPr>
          <w:b/>
          <w:szCs w:val="28"/>
        </w:rPr>
        <w:t>(</w:t>
      </w:r>
      <w:proofErr w:type="gramStart"/>
      <w:r w:rsidR="00C675AF" w:rsidRPr="00C675AF">
        <w:rPr>
          <w:b/>
          <w:szCs w:val="28"/>
        </w:rPr>
        <w:t>к</w:t>
      </w:r>
      <w:proofErr w:type="gramEnd"/>
      <w:r w:rsidR="00C675AF" w:rsidRPr="00C675AF">
        <w:rPr>
          <w:b/>
          <w:szCs w:val="28"/>
        </w:rPr>
        <w:t>опии сертификатов прилагаются в составе заявки).</w:t>
      </w:r>
    </w:p>
    <w:p w:rsidR="00A3475B" w:rsidRDefault="00A3475B" w:rsidP="00A3475B">
      <w:pPr>
        <w:autoSpaceDE w:val="0"/>
        <w:autoSpaceDN w:val="0"/>
        <w:adjustRightInd w:val="0"/>
        <w:spacing w:before="120"/>
        <w:outlineLvl w:val="1"/>
        <w:rPr>
          <w:szCs w:val="28"/>
        </w:rPr>
      </w:pPr>
      <w:r w:rsidRPr="00894A00">
        <w:rPr>
          <w:szCs w:val="28"/>
        </w:rPr>
        <w:t>Рекомендуется: к применению в районах с экстремальными климатическими условиями и имеющих повышенные экологические требования.</w:t>
      </w:r>
    </w:p>
    <w:p w:rsidR="00A3475B" w:rsidRDefault="00A3475B" w:rsidP="00A3475B">
      <w:pPr>
        <w:autoSpaceDE w:val="0"/>
        <w:autoSpaceDN w:val="0"/>
        <w:adjustRightInd w:val="0"/>
        <w:spacing w:before="120" w:after="120"/>
        <w:outlineLvl w:val="1"/>
        <w:rPr>
          <w:szCs w:val="28"/>
        </w:rPr>
      </w:pPr>
    </w:p>
    <w:tbl>
      <w:tblPr>
        <w:tblW w:w="9356" w:type="dxa"/>
        <w:tblInd w:w="55" w:type="dxa"/>
        <w:tblLayout w:type="fixed"/>
        <w:tblCellMar>
          <w:top w:w="55" w:type="dxa"/>
          <w:left w:w="55" w:type="dxa"/>
          <w:bottom w:w="55" w:type="dxa"/>
          <w:right w:w="55" w:type="dxa"/>
        </w:tblCellMar>
        <w:tblLook w:val="0000"/>
      </w:tblPr>
      <w:tblGrid>
        <w:gridCol w:w="6237"/>
        <w:gridCol w:w="3119"/>
      </w:tblGrid>
      <w:tr w:rsidR="00A3475B" w:rsidRPr="0073397C" w:rsidTr="00A3475B">
        <w:trPr>
          <w:tblHeader/>
        </w:trPr>
        <w:tc>
          <w:tcPr>
            <w:tcW w:w="9356" w:type="dxa"/>
            <w:gridSpan w:val="2"/>
            <w:tcBorders>
              <w:top w:val="single" w:sz="1" w:space="0" w:color="000000"/>
              <w:left w:val="single" w:sz="1" w:space="0" w:color="000000"/>
              <w:bottom w:val="single" w:sz="1" w:space="0" w:color="000000"/>
              <w:right w:val="single" w:sz="4" w:space="0" w:color="auto"/>
            </w:tcBorders>
          </w:tcPr>
          <w:p w:rsidR="00A3475B" w:rsidRPr="0073397C" w:rsidRDefault="00A3475B" w:rsidP="00C675AF">
            <w:pPr>
              <w:pStyle w:val="aff4"/>
              <w:tabs>
                <w:tab w:val="left" w:pos="850"/>
              </w:tabs>
              <w:snapToGrid w:val="0"/>
              <w:jc w:val="center"/>
              <w:rPr>
                <w:rFonts w:cs="Tahoma"/>
                <w:b/>
                <w:bCs/>
                <w:sz w:val="26"/>
                <w:szCs w:val="28"/>
              </w:rPr>
            </w:pPr>
            <w:r w:rsidRPr="00894A00">
              <w:rPr>
                <w:rFonts w:ascii="Times New Roman" w:hAnsi="Times New Roman"/>
                <w:b/>
                <w:szCs w:val="28"/>
              </w:rPr>
              <w:t xml:space="preserve">Основные характеристики </w:t>
            </w:r>
            <w:proofErr w:type="spellStart"/>
            <w:r w:rsidR="00C675AF">
              <w:rPr>
                <w:rFonts w:ascii="Times New Roman" w:hAnsi="Times New Roman"/>
                <w:b/>
                <w:szCs w:val="28"/>
              </w:rPr>
              <w:t>антигололедного</w:t>
            </w:r>
            <w:proofErr w:type="spellEnd"/>
            <w:r w:rsidR="00C675AF">
              <w:rPr>
                <w:rFonts w:ascii="Times New Roman" w:hAnsi="Times New Roman"/>
                <w:b/>
                <w:szCs w:val="28"/>
              </w:rPr>
              <w:t xml:space="preserve"> реагента</w:t>
            </w:r>
            <w:r w:rsidRPr="00894A00">
              <w:rPr>
                <w:rFonts w:ascii="Times New Roman" w:hAnsi="Times New Roman"/>
                <w:b/>
                <w:szCs w:val="28"/>
              </w:rPr>
              <w:t>:</w:t>
            </w:r>
          </w:p>
        </w:tc>
      </w:tr>
      <w:tr w:rsidR="00A3475B" w:rsidRPr="007F5C3E" w:rsidTr="00A3475B">
        <w:trPr>
          <w:trHeight w:val="35"/>
          <w:tblHeader/>
        </w:trPr>
        <w:tc>
          <w:tcPr>
            <w:tcW w:w="6237"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tcPr>
          <w:p w:rsidR="00A3475B" w:rsidRPr="007F5C3E" w:rsidRDefault="00A3475B" w:rsidP="00A3475B">
            <w:pPr>
              <w:pStyle w:val="aff5"/>
              <w:snapToGrid w:val="0"/>
              <w:rPr>
                <w:rFonts w:cs="Tahoma"/>
                <w:b w:val="0"/>
                <w:bCs w:val="0"/>
                <w:iCs w:val="0"/>
                <w:sz w:val="22"/>
                <w:szCs w:val="28"/>
              </w:rPr>
            </w:pPr>
            <w:r w:rsidRPr="007F5C3E">
              <w:rPr>
                <w:rFonts w:cs="Tahoma"/>
                <w:b w:val="0"/>
                <w:bCs w:val="0"/>
                <w:iCs w:val="0"/>
                <w:sz w:val="22"/>
                <w:szCs w:val="28"/>
              </w:rPr>
              <w:t>1</w:t>
            </w:r>
          </w:p>
        </w:tc>
        <w:tc>
          <w:tcPr>
            <w:tcW w:w="3119"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tcPr>
          <w:p w:rsidR="00A3475B" w:rsidRPr="007F5C3E" w:rsidRDefault="00A3475B" w:rsidP="00A3475B">
            <w:pPr>
              <w:pStyle w:val="aff4"/>
              <w:tabs>
                <w:tab w:val="left" w:pos="850"/>
              </w:tabs>
              <w:snapToGrid w:val="0"/>
              <w:jc w:val="center"/>
              <w:rPr>
                <w:rFonts w:cs="Tahoma"/>
                <w:bCs/>
                <w:i/>
                <w:sz w:val="22"/>
                <w:szCs w:val="28"/>
              </w:rPr>
            </w:pPr>
            <w:r w:rsidRPr="007F5C3E">
              <w:rPr>
                <w:rFonts w:cs="Tahoma"/>
                <w:bCs/>
                <w:i/>
                <w:sz w:val="22"/>
                <w:szCs w:val="28"/>
              </w:rPr>
              <w:t>2</w:t>
            </w:r>
          </w:p>
        </w:tc>
      </w:tr>
      <w:tr w:rsidR="00A3475B" w:rsidRPr="0073397C" w:rsidTr="00A3475B">
        <w:tc>
          <w:tcPr>
            <w:tcW w:w="6237" w:type="dxa"/>
            <w:tcBorders>
              <w:left w:val="single" w:sz="1" w:space="0" w:color="000000"/>
              <w:bottom w:val="single" w:sz="1" w:space="0" w:color="000000"/>
              <w:right w:val="single" w:sz="2" w:space="0" w:color="000000"/>
            </w:tcBorders>
          </w:tcPr>
          <w:p w:rsidR="00A3475B" w:rsidRPr="0073397C" w:rsidRDefault="00A3475B" w:rsidP="00A3475B">
            <w:pPr>
              <w:pStyle w:val="aff4"/>
              <w:tabs>
                <w:tab w:val="left" w:pos="170"/>
              </w:tabs>
              <w:snapToGrid w:val="0"/>
              <w:ind w:left="87"/>
              <w:jc w:val="both"/>
              <w:rPr>
                <w:rFonts w:cs="Tahoma"/>
                <w:sz w:val="26"/>
                <w:szCs w:val="28"/>
              </w:rPr>
            </w:pPr>
            <w:r w:rsidRPr="0073397C">
              <w:rPr>
                <w:rFonts w:cs="Tahoma"/>
                <w:sz w:val="26"/>
                <w:szCs w:val="28"/>
              </w:rPr>
              <w:t>1. Внешний вид</w:t>
            </w:r>
          </w:p>
        </w:tc>
        <w:tc>
          <w:tcPr>
            <w:tcW w:w="3119" w:type="dxa"/>
            <w:tcBorders>
              <w:top w:val="single" w:sz="2" w:space="0" w:color="000000"/>
              <w:left w:val="single" w:sz="2" w:space="0" w:color="000000"/>
              <w:bottom w:val="single" w:sz="2" w:space="0" w:color="000000"/>
              <w:right w:val="single" w:sz="4" w:space="0" w:color="auto"/>
            </w:tcBorders>
          </w:tcPr>
          <w:p w:rsidR="00A3475B" w:rsidRPr="0073397C" w:rsidRDefault="00A3475B" w:rsidP="00A3475B">
            <w:pPr>
              <w:pStyle w:val="aff4"/>
              <w:snapToGrid w:val="0"/>
              <w:jc w:val="center"/>
              <w:rPr>
                <w:rFonts w:cs="Tahoma"/>
                <w:sz w:val="26"/>
                <w:szCs w:val="28"/>
              </w:rPr>
            </w:pPr>
            <w:r w:rsidRPr="00894A00">
              <w:rPr>
                <w:rFonts w:ascii="Times New Roman" w:hAnsi="Times New Roman"/>
                <w:szCs w:val="28"/>
              </w:rPr>
              <w:t>прозрачная жидкость</w:t>
            </w:r>
          </w:p>
        </w:tc>
      </w:tr>
      <w:tr w:rsidR="00A3475B" w:rsidRPr="0073397C" w:rsidTr="00A3475B">
        <w:tc>
          <w:tcPr>
            <w:tcW w:w="6237" w:type="dxa"/>
            <w:tcBorders>
              <w:left w:val="single" w:sz="1" w:space="0" w:color="000000"/>
              <w:bottom w:val="single" w:sz="1" w:space="0" w:color="000000"/>
              <w:right w:val="single" w:sz="2" w:space="0" w:color="000000"/>
            </w:tcBorders>
          </w:tcPr>
          <w:p w:rsidR="00A3475B" w:rsidRPr="0073397C" w:rsidRDefault="00A3475B" w:rsidP="00A3475B">
            <w:pPr>
              <w:pStyle w:val="aff4"/>
              <w:tabs>
                <w:tab w:val="left" w:pos="170"/>
              </w:tabs>
              <w:snapToGrid w:val="0"/>
              <w:ind w:left="87"/>
              <w:jc w:val="both"/>
              <w:rPr>
                <w:rFonts w:cs="Tahoma"/>
                <w:sz w:val="26"/>
                <w:szCs w:val="28"/>
              </w:rPr>
            </w:pPr>
            <w:r w:rsidRPr="0073397C">
              <w:rPr>
                <w:rFonts w:cs="Tahoma"/>
                <w:sz w:val="26"/>
                <w:szCs w:val="28"/>
              </w:rPr>
              <w:t>2.</w:t>
            </w:r>
            <w:r w:rsidRPr="00894A00">
              <w:rPr>
                <w:rFonts w:ascii="Times New Roman" w:hAnsi="Times New Roman"/>
                <w:szCs w:val="28"/>
              </w:rPr>
              <w:t xml:space="preserve"> Плотность раствора</w:t>
            </w:r>
          </w:p>
        </w:tc>
        <w:tc>
          <w:tcPr>
            <w:tcW w:w="3119" w:type="dxa"/>
            <w:tcBorders>
              <w:top w:val="single" w:sz="2" w:space="0" w:color="000000"/>
              <w:left w:val="single" w:sz="2" w:space="0" w:color="000000"/>
              <w:bottom w:val="single" w:sz="2" w:space="0" w:color="000000"/>
              <w:right w:val="single" w:sz="4" w:space="0" w:color="auto"/>
            </w:tcBorders>
          </w:tcPr>
          <w:p w:rsidR="00A3475B" w:rsidRPr="0073397C" w:rsidRDefault="00A3475B" w:rsidP="00A3475B">
            <w:pPr>
              <w:pStyle w:val="aff4"/>
              <w:snapToGrid w:val="0"/>
              <w:jc w:val="center"/>
              <w:rPr>
                <w:rFonts w:cs="Tahoma"/>
                <w:sz w:val="26"/>
                <w:szCs w:val="28"/>
              </w:rPr>
            </w:pPr>
            <w:r w:rsidRPr="00894A00">
              <w:rPr>
                <w:rFonts w:ascii="Times New Roman" w:hAnsi="Times New Roman"/>
                <w:szCs w:val="28"/>
              </w:rPr>
              <w:t>1,25-1,30 г/куб.см.</w:t>
            </w:r>
          </w:p>
        </w:tc>
      </w:tr>
      <w:tr w:rsidR="00A3475B" w:rsidRPr="0073397C" w:rsidTr="00A3475B">
        <w:tc>
          <w:tcPr>
            <w:tcW w:w="6237" w:type="dxa"/>
            <w:tcBorders>
              <w:left w:val="single" w:sz="1" w:space="0" w:color="000000"/>
              <w:bottom w:val="single" w:sz="1" w:space="0" w:color="000000"/>
              <w:right w:val="single" w:sz="2" w:space="0" w:color="000000"/>
            </w:tcBorders>
          </w:tcPr>
          <w:p w:rsidR="00A3475B" w:rsidRPr="0073397C" w:rsidRDefault="00A3475B" w:rsidP="00A3475B">
            <w:pPr>
              <w:pStyle w:val="aff4"/>
              <w:tabs>
                <w:tab w:val="left" w:pos="170"/>
              </w:tabs>
              <w:snapToGrid w:val="0"/>
              <w:ind w:left="87"/>
              <w:jc w:val="both"/>
              <w:rPr>
                <w:rFonts w:cs="Tahoma"/>
                <w:sz w:val="26"/>
                <w:szCs w:val="28"/>
              </w:rPr>
            </w:pPr>
            <w:r w:rsidRPr="0073397C">
              <w:rPr>
                <w:rFonts w:cs="Tahoma"/>
                <w:sz w:val="26"/>
                <w:szCs w:val="28"/>
              </w:rPr>
              <w:t xml:space="preserve">3. </w:t>
            </w:r>
            <w:r w:rsidRPr="0073397C">
              <w:rPr>
                <w:rFonts w:cs="Tahoma" w:hint="cs"/>
                <w:sz w:val="26"/>
                <w:szCs w:val="28"/>
              </w:rPr>
              <w:t>Кислотность</w:t>
            </w:r>
            <w:r w:rsidRPr="0073397C">
              <w:rPr>
                <w:rFonts w:cs="Tahoma"/>
                <w:sz w:val="26"/>
                <w:szCs w:val="28"/>
              </w:rPr>
              <w:t xml:space="preserve"> (</w:t>
            </w:r>
            <w:proofErr w:type="spellStart"/>
            <w:r w:rsidRPr="0073397C">
              <w:rPr>
                <w:rFonts w:cs="Tahoma"/>
                <w:sz w:val="26"/>
                <w:szCs w:val="28"/>
              </w:rPr>
              <w:t>рН</w:t>
            </w:r>
            <w:proofErr w:type="spellEnd"/>
            <w:r w:rsidRPr="0073397C">
              <w:rPr>
                <w:rFonts w:cs="Tahoma"/>
                <w:sz w:val="26"/>
                <w:szCs w:val="28"/>
              </w:rPr>
              <w:t>)</w:t>
            </w:r>
          </w:p>
        </w:tc>
        <w:tc>
          <w:tcPr>
            <w:tcW w:w="3119" w:type="dxa"/>
            <w:tcBorders>
              <w:top w:val="single" w:sz="2" w:space="0" w:color="000000"/>
              <w:left w:val="single" w:sz="2" w:space="0" w:color="000000"/>
              <w:bottom w:val="single" w:sz="2" w:space="0" w:color="000000"/>
              <w:right w:val="single" w:sz="4" w:space="0" w:color="auto"/>
            </w:tcBorders>
          </w:tcPr>
          <w:p w:rsidR="00A3475B" w:rsidRPr="0073397C" w:rsidRDefault="00A3475B" w:rsidP="00A3475B">
            <w:pPr>
              <w:pStyle w:val="aff4"/>
              <w:snapToGrid w:val="0"/>
              <w:jc w:val="center"/>
              <w:rPr>
                <w:rFonts w:cs="Tahoma"/>
                <w:sz w:val="26"/>
                <w:szCs w:val="28"/>
              </w:rPr>
            </w:pPr>
            <w:r>
              <w:rPr>
                <w:rFonts w:cs="Tahoma"/>
                <w:sz w:val="26"/>
                <w:szCs w:val="28"/>
              </w:rPr>
              <w:t>9,0</w:t>
            </w:r>
            <w:r w:rsidRPr="0073397C">
              <w:rPr>
                <w:rFonts w:cs="Tahoma"/>
                <w:sz w:val="26"/>
                <w:szCs w:val="28"/>
              </w:rPr>
              <w:t xml:space="preserve"> – </w:t>
            </w:r>
            <w:r>
              <w:rPr>
                <w:rFonts w:cs="Tahoma"/>
                <w:sz w:val="26"/>
                <w:szCs w:val="28"/>
              </w:rPr>
              <w:t>11,0</w:t>
            </w:r>
          </w:p>
        </w:tc>
      </w:tr>
      <w:tr w:rsidR="00A3475B" w:rsidRPr="0073397C" w:rsidTr="00A3475B">
        <w:trPr>
          <w:trHeight w:val="106"/>
        </w:trPr>
        <w:tc>
          <w:tcPr>
            <w:tcW w:w="6237" w:type="dxa"/>
            <w:tcBorders>
              <w:left w:val="single" w:sz="1" w:space="0" w:color="000000"/>
              <w:bottom w:val="single" w:sz="1" w:space="0" w:color="000000"/>
              <w:right w:val="single" w:sz="2" w:space="0" w:color="000000"/>
            </w:tcBorders>
          </w:tcPr>
          <w:p w:rsidR="00A3475B" w:rsidRPr="0073397C" w:rsidRDefault="00A3475B" w:rsidP="00A3475B">
            <w:pPr>
              <w:pStyle w:val="aff4"/>
              <w:tabs>
                <w:tab w:val="left" w:pos="170"/>
                <w:tab w:val="left" w:pos="230"/>
              </w:tabs>
              <w:snapToGrid w:val="0"/>
              <w:ind w:left="87"/>
              <w:jc w:val="both"/>
              <w:rPr>
                <w:rFonts w:cs="Tahoma"/>
                <w:sz w:val="26"/>
                <w:szCs w:val="28"/>
              </w:rPr>
            </w:pPr>
            <w:r w:rsidRPr="0073397C">
              <w:rPr>
                <w:rFonts w:cs="Tahoma"/>
                <w:sz w:val="26"/>
                <w:szCs w:val="28"/>
              </w:rPr>
              <w:t xml:space="preserve">4. </w:t>
            </w:r>
            <w:r w:rsidRPr="00894A00">
              <w:rPr>
                <w:rFonts w:ascii="Times New Roman" w:hAnsi="Times New Roman"/>
                <w:szCs w:val="28"/>
              </w:rPr>
              <w:t>Температура замерзания</w:t>
            </w:r>
          </w:p>
        </w:tc>
        <w:tc>
          <w:tcPr>
            <w:tcW w:w="3119" w:type="dxa"/>
            <w:tcBorders>
              <w:top w:val="single" w:sz="2" w:space="0" w:color="000000"/>
              <w:left w:val="single" w:sz="2" w:space="0" w:color="000000"/>
              <w:bottom w:val="single" w:sz="2" w:space="0" w:color="000000"/>
              <w:right w:val="single" w:sz="4" w:space="0" w:color="auto"/>
            </w:tcBorders>
          </w:tcPr>
          <w:p w:rsidR="00A3475B" w:rsidRPr="0073397C" w:rsidRDefault="00A3475B" w:rsidP="00A3475B">
            <w:pPr>
              <w:autoSpaceDE w:val="0"/>
              <w:autoSpaceDN w:val="0"/>
              <w:adjustRightInd w:val="0"/>
              <w:jc w:val="center"/>
              <w:outlineLvl w:val="1"/>
              <w:rPr>
                <w:rFonts w:cs="Tahoma"/>
                <w:sz w:val="26"/>
                <w:szCs w:val="28"/>
              </w:rPr>
            </w:pPr>
            <w:r w:rsidRPr="00894A00">
              <w:rPr>
                <w:szCs w:val="28"/>
              </w:rPr>
              <w:t>Ниже -50</w:t>
            </w:r>
          </w:p>
        </w:tc>
      </w:tr>
      <w:tr w:rsidR="00A3475B" w:rsidRPr="0073397C" w:rsidTr="00A3475B">
        <w:tc>
          <w:tcPr>
            <w:tcW w:w="6237" w:type="dxa"/>
            <w:tcBorders>
              <w:left w:val="single" w:sz="1" w:space="0" w:color="000000"/>
              <w:bottom w:val="single" w:sz="1" w:space="0" w:color="000000"/>
              <w:right w:val="single" w:sz="2" w:space="0" w:color="000000"/>
            </w:tcBorders>
          </w:tcPr>
          <w:p w:rsidR="00A3475B" w:rsidRPr="0073397C" w:rsidRDefault="00A3475B" w:rsidP="00A3475B">
            <w:pPr>
              <w:pStyle w:val="aff4"/>
              <w:tabs>
                <w:tab w:val="left" w:pos="170"/>
              </w:tabs>
              <w:snapToGrid w:val="0"/>
              <w:ind w:left="87"/>
              <w:jc w:val="both"/>
              <w:rPr>
                <w:rFonts w:cs="Tahoma"/>
                <w:sz w:val="26"/>
                <w:szCs w:val="28"/>
              </w:rPr>
            </w:pPr>
            <w:r w:rsidRPr="0073397C">
              <w:rPr>
                <w:rFonts w:cs="Tahoma"/>
                <w:sz w:val="26"/>
                <w:szCs w:val="28"/>
              </w:rPr>
              <w:t xml:space="preserve">5. </w:t>
            </w:r>
            <w:r w:rsidRPr="00894A00">
              <w:rPr>
                <w:rFonts w:ascii="Times New Roman" w:hAnsi="Times New Roman"/>
                <w:szCs w:val="28"/>
              </w:rPr>
              <w:t>Коэффициент агрессивности (воздействие на бетон)</w:t>
            </w:r>
          </w:p>
        </w:tc>
        <w:tc>
          <w:tcPr>
            <w:tcW w:w="3119" w:type="dxa"/>
            <w:tcBorders>
              <w:top w:val="single" w:sz="2" w:space="0" w:color="000000"/>
              <w:left w:val="single" w:sz="2" w:space="0" w:color="000000"/>
              <w:bottom w:val="single" w:sz="2" w:space="0" w:color="000000"/>
              <w:right w:val="single" w:sz="4" w:space="0" w:color="auto"/>
            </w:tcBorders>
          </w:tcPr>
          <w:p w:rsidR="00A3475B" w:rsidRPr="0073397C" w:rsidRDefault="00A3475B" w:rsidP="00A3475B">
            <w:pPr>
              <w:pStyle w:val="aff4"/>
              <w:snapToGrid w:val="0"/>
              <w:jc w:val="center"/>
              <w:rPr>
                <w:rFonts w:cs="Tahoma"/>
                <w:sz w:val="26"/>
                <w:szCs w:val="28"/>
              </w:rPr>
            </w:pPr>
            <w:r w:rsidRPr="00894A00">
              <w:rPr>
                <w:rFonts w:ascii="Times New Roman" w:hAnsi="Times New Roman"/>
                <w:szCs w:val="28"/>
              </w:rPr>
              <w:t>не выше 0,2</w:t>
            </w:r>
          </w:p>
        </w:tc>
      </w:tr>
      <w:tr w:rsidR="00A3475B" w:rsidRPr="0073397C" w:rsidTr="00A3475B">
        <w:tc>
          <w:tcPr>
            <w:tcW w:w="6237" w:type="dxa"/>
            <w:tcBorders>
              <w:left w:val="single" w:sz="1" w:space="0" w:color="000000"/>
              <w:bottom w:val="single" w:sz="1" w:space="0" w:color="000000"/>
              <w:right w:val="single" w:sz="2" w:space="0" w:color="000000"/>
            </w:tcBorders>
          </w:tcPr>
          <w:p w:rsidR="00A3475B" w:rsidRPr="0073397C" w:rsidRDefault="00A3475B" w:rsidP="00A3475B">
            <w:pPr>
              <w:pStyle w:val="aff4"/>
              <w:tabs>
                <w:tab w:val="left" w:pos="170"/>
              </w:tabs>
              <w:snapToGrid w:val="0"/>
              <w:ind w:left="87"/>
              <w:rPr>
                <w:rFonts w:cs="Tahoma"/>
                <w:sz w:val="26"/>
                <w:szCs w:val="28"/>
              </w:rPr>
            </w:pPr>
            <w:r w:rsidRPr="0073397C">
              <w:rPr>
                <w:rFonts w:cs="Tahoma"/>
                <w:sz w:val="26"/>
                <w:szCs w:val="28"/>
              </w:rPr>
              <w:t xml:space="preserve">6. </w:t>
            </w:r>
            <w:r w:rsidRPr="00894A00">
              <w:rPr>
                <w:rFonts w:ascii="Times New Roman" w:hAnsi="Times New Roman"/>
                <w:szCs w:val="28"/>
              </w:rPr>
              <w:t>Коррозионное воздействие на сталь, кадмиевое и цинковое покрытие, алюминиевый сплав</w:t>
            </w:r>
          </w:p>
        </w:tc>
        <w:tc>
          <w:tcPr>
            <w:tcW w:w="3119" w:type="dxa"/>
            <w:tcBorders>
              <w:top w:val="single" w:sz="2" w:space="0" w:color="000000"/>
              <w:left w:val="single" w:sz="2" w:space="0" w:color="000000"/>
              <w:bottom w:val="single" w:sz="2" w:space="0" w:color="000000"/>
              <w:right w:val="single" w:sz="4" w:space="0" w:color="auto"/>
            </w:tcBorders>
          </w:tcPr>
          <w:p w:rsidR="00A3475B" w:rsidRPr="0073397C" w:rsidRDefault="00A3475B" w:rsidP="00A3475B">
            <w:pPr>
              <w:pStyle w:val="aff4"/>
              <w:snapToGrid w:val="0"/>
              <w:jc w:val="center"/>
              <w:rPr>
                <w:rFonts w:cs="Tahoma"/>
                <w:sz w:val="26"/>
                <w:szCs w:val="28"/>
              </w:rPr>
            </w:pPr>
            <w:r w:rsidRPr="00894A00">
              <w:rPr>
                <w:rFonts w:ascii="Times New Roman" w:hAnsi="Times New Roman"/>
                <w:szCs w:val="28"/>
              </w:rPr>
              <w:t>не выше 0,05 г/кв. м. в час</w:t>
            </w:r>
          </w:p>
        </w:tc>
      </w:tr>
      <w:tr w:rsidR="00A3475B" w:rsidRPr="0073397C" w:rsidTr="00A3475B">
        <w:tc>
          <w:tcPr>
            <w:tcW w:w="6237" w:type="dxa"/>
            <w:tcBorders>
              <w:left w:val="single" w:sz="1" w:space="0" w:color="000000"/>
              <w:bottom w:val="single" w:sz="1" w:space="0" w:color="000000"/>
              <w:right w:val="single" w:sz="2" w:space="0" w:color="000000"/>
            </w:tcBorders>
          </w:tcPr>
          <w:p w:rsidR="00A3475B" w:rsidRPr="0073397C" w:rsidRDefault="00A3475B" w:rsidP="00A3475B">
            <w:pPr>
              <w:pStyle w:val="aff4"/>
              <w:tabs>
                <w:tab w:val="left" w:pos="170"/>
                <w:tab w:val="left" w:pos="305"/>
              </w:tabs>
              <w:snapToGrid w:val="0"/>
              <w:ind w:left="87"/>
              <w:jc w:val="both"/>
              <w:rPr>
                <w:rFonts w:cs="Tahoma"/>
                <w:sz w:val="26"/>
                <w:szCs w:val="28"/>
              </w:rPr>
            </w:pPr>
            <w:r w:rsidRPr="0073397C">
              <w:rPr>
                <w:rFonts w:cs="Tahoma"/>
                <w:sz w:val="26"/>
                <w:szCs w:val="28"/>
              </w:rPr>
              <w:t xml:space="preserve">7. </w:t>
            </w:r>
            <w:r w:rsidRPr="00894A00">
              <w:rPr>
                <w:rFonts w:ascii="Times New Roman" w:hAnsi="Times New Roman"/>
                <w:szCs w:val="28"/>
              </w:rPr>
              <w:t>Коэффициент сцепления после удаления продуктов разрушения</w:t>
            </w:r>
          </w:p>
        </w:tc>
        <w:tc>
          <w:tcPr>
            <w:tcW w:w="3119" w:type="dxa"/>
            <w:tcBorders>
              <w:top w:val="single" w:sz="2" w:space="0" w:color="000000"/>
              <w:left w:val="single" w:sz="2" w:space="0" w:color="000000"/>
              <w:bottom w:val="single" w:sz="2" w:space="0" w:color="000000"/>
              <w:right w:val="single" w:sz="4" w:space="0" w:color="auto"/>
            </w:tcBorders>
          </w:tcPr>
          <w:p w:rsidR="00A3475B" w:rsidRPr="0073397C" w:rsidRDefault="00A3475B" w:rsidP="00A3475B">
            <w:pPr>
              <w:pStyle w:val="aff4"/>
              <w:snapToGrid w:val="0"/>
              <w:jc w:val="center"/>
              <w:rPr>
                <w:rFonts w:cs="Tahoma"/>
                <w:sz w:val="26"/>
                <w:szCs w:val="28"/>
              </w:rPr>
            </w:pPr>
            <w:r w:rsidRPr="00894A00">
              <w:rPr>
                <w:rFonts w:ascii="Times New Roman" w:hAnsi="Times New Roman"/>
                <w:szCs w:val="28"/>
              </w:rPr>
              <w:t>не менее 80% от величины сцепления на мокрой поверхности</w:t>
            </w:r>
          </w:p>
        </w:tc>
      </w:tr>
    </w:tbl>
    <w:p w:rsidR="00544641" w:rsidRDefault="00544641" w:rsidP="00A3475B">
      <w:pPr>
        <w:autoSpaceDE w:val="0"/>
        <w:autoSpaceDN w:val="0"/>
        <w:adjustRightInd w:val="0"/>
        <w:spacing w:before="120"/>
        <w:outlineLvl w:val="1"/>
        <w:rPr>
          <w:b/>
          <w:szCs w:val="28"/>
          <w:u w:val="single"/>
        </w:rPr>
      </w:pPr>
      <w:r>
        <w:rPr>
          <w:b/>
          <w:szCs w:val="28"/>
          <w:u w:val="single"/>
        </w:rPr>
        <w:t>Гарантия качества Товара:</w:t>
      </w:r>
      <w:r w:rsidRPr="00544641">
        <w:rPr>
          <w:szCs w:val="28"/>
        </w:rPr>
        <w:t xml:space="preserve">  24 месяца со дня подписания акта приема-передачи в мор</w:t>
      </w:r>
      <w:r>
        <w:rPr>
          <w:szCs w:val="28"/>
        </w:rPr>
        <w:t>с</w:t>
      </w:r>
      <w:r w:rsidRPr="00544641">
        <w:rPr>
          <w:szCs w:val="28"/>
        </w:rPr>
        <w:t>ком порту г. Петропавловска-Камчатского.</w:t>
      </w:r>
    </w:p>
    <w:p w:rsidR="00A3475B" w:rsidRPr="000F4FED" w:rsidRDefault="00A3475B" w:rsidP="00A3475B">
      <w:pPr>
        <w:autoSpaceDE w:val="0"/>
        <w:autoSpaceDN w:val="0"/>
        <w:adjustRightInd w:val="0"/>
        <w:spacing w:before="120"/>
        <w:outlineLvl w:val="1"/>
      </w:pPr>
      <w:r w:rsidRPr="00A626DB">
        <w:rPr>
          <w:b/>
          <w:szCs w:val="28"/>
          <w:u w:val="single"/>
        </w:rPr>
        <w:t>Тара:</w:t>
      </w:r>
      <w:r w:rsidRPr="00A3475B">
        <w:rPr>
          <w:szCs w:val="28"/>
        </w:rPr>
        <w:t xml:space="preserve"> </w:t>
      </w:r>
      <w:r>
        <w:rPr>
          <w:szCs w:val="28"/>
        </w:rPr>
        <w:t xml:space="preserve">поставка </w:t>
      </w:r>
      <w:proofErr w:type="spellStart"/>
      <w:r>
        <w:rPr>
          <w:szCs w:val="28"/>
        </w:rPr>
        <w:t>антигололедного</w:t>
      </w:r>
      <w:proofErr w:type="spellEnd"/>
      <w:r>
        <w:rPr>
          <w:szCs w:val="28"/>
        </w:rPr>
        <w:t xml:space="preserve"> реагента</w:t>
      </w:r>
      <w:r w:rsidRPr="000F4FED">
        <w:rPr>
          <w:szCs w:val="28"/>
        </w:rPr>
        <w:t xml:space="preserve"> должна производиться в п</w:t>
      </w:r>
      <w:r>
        <w:rPr>
          <w:szCs w:val="28"/>
        </w:rPr>
        <w:t>ластик</w:t>
      </w:r>
      <w:r w:rsidRPr="000F4FED">
        <w:rPr>
          <w:szCs w:val="28"/>
        </w:rPr>
        <w:t>ов</w:t>
      </w:r>
      <w:r w:rsidR="00C675AF">
        <w:rPr>
          <w:szCs w:val="28"/>
        </w:rPr>
        <w:t>ых</w:t>
      </w:r>
      <w:r>
        <w:rPr>
          <w:szCs w:val="28"/>
        </w:rPr>
        <w:t xml:space="preserve"> емкост</w:t>
      </w:r>
      <w:r w:rsidR="00C675AF">
        <w:rPr>
          <w:szCs w:val="28"/>
        </w:rPr>
        <w:t>ях объемом 1000 л, исключающих</w:t>
      </w:r>
      <w:r>
        <w:rPr>
          <w:szCs w:val="28"/>
        </w:rPr>
        <w:t xml:space="preserve"> возможность случайного повреждения при опрокидывании </w:t>
      </w:r>
      <w:r w:rsidR="00C675AF">
        <w:rPr>
          <w:szCs w:val="28"/>
        </w:rPr>
        <w:t>во время транспортировки.</w:t>
      </w:r>
    </w:p>
    <w:p w:rsidR="00A3475B" w:rsidRPr="00D27C48" w:rsidRDefault="00A3475B" w:rsidP="00A3475B">
      <w:pPr>
        <w:autoSpaceDE w:val="0"/>
        <w:autoSpaceDN w:val="0"/>
        <w:adjustRightInd w:val="0"/>
        <w:spacing w:before="120"/>
        <w:outlineLvl w:val="1"/>
        <w:rPr>
          <w:szCs w:val="28"/>
        </w:rPr>
      </w:pPr>
      <w:r w:rsidRPr="00D27C48">
        <w:rPr>
          <w:szCs w:val="28"/>
        </w:rPr>
        <w:t xml:space="preserve">Главные требования, предъявляемые к </w:t>
      </w:r>
      <w:r>
        <w:rPr>
          <w:szCs w:val="28"/>
        </w:rPr>
        <w:t xml:space="preserve">пластиковым </w:t>
      </w:r>
      <w:r w:rsidRPr="00D27C48">
        <w:rPr>
          <w:szCs w:val="28"/>
        </w:rPr>
        <w:t>емкостям</w:t>
      </w:r>
      <w:r w:rsidR="00C675AF">
        <w:rPr>
          <w:szCs w:val="28"/>
        </w:rPr>
        <w:t>:</w:t>
      </w:r>
      <w:r w:rsidRPr="00D27C48">
        <w:rPr>
          <w:szCs w:val="28"/>
        </w:rPr>
        <w:t xml:space="preserve"> длительность эксплуатации, химическая устойчивость к передаче в </w:t>
      </w:r>
      <w:r>
        <w:rPr>
          <w:szCs w:val="28"/>
        </w:rPr>
        <w:t>хранимые жидкости</w:t>
      </w:r>
      <w:r w:rsidRPr="00D27C48">
        <w:rPr>
          <w:szCs w:val="28"/>
        </w:rPr>
        <w:t xml:space="preserve"> компонентов </w:t>
      </w:r>
      <w:r w:rsidRPr="00D27C48">
        <w:rPr>
          <w:szCs w:val="28"/>
        </w:rPr>
        <w:lastRenderedPageBreak/>
        <w:t xml:space="preserve">материала емкости. Материалы, используемые при производстве пластиковых емкостей, </w:t>
      </w:r>
      <w:r w:rsidR="003D6B5C">
        <w:rPr>
          <w:szCs w:val="28"/>
        </w:rPr>
        <w:t xml:space="preserve">должны </w:t>
      </w:r>
      <w:r w:rsidRPr="00D27C48">
        <w:rPr>
          <w:szCs w:val="28"/>
        </w:rPr>
        <w:t>позволя</w:t>
      </w:r>
      <w:r w:rsidR="003D6B5C">
        <w:rPr>
          <w:szCs w:val="28"/>
        </w:rPr>
        <w:t>ть</w:t>
      </w:r>
      <w:r w:rsidRPr="00D27C48">
        <w:rPr>
          <w:szCs w:val="28"/>
        </w:rPr>
        <w:t xml:space="preserve"> эксплуатировать емкости при температурах до +50</w:t>
      </w:r>
      <w:proofErr w:type="gramStart"/>
      <w:r>
        <w:rPr>
          <w:szCs w:val="28"/>
        </w:rPr>
        <w:t>°</w:t>
      </w:r>
      <w:r w:rsidRPr="00D27C48">
        <w:rPr>
          <w:szCs w:val="28"/>
        </w:rPr>
        <w:t>С</w:t>
      </w:r>
      <w:proofErr w:type="gramEnd"/>
      <w:r w:rsidRPr="00D27C48">
        <w:rPr>
          <w:szCs w:val="28"/>
        </w:rPr>
        <w:t>, в зимний период низкие температуры до  -40</w:t>
      </w:r>
      <w:r>
        <w:rPr>
          <w:szCs w:val="28"/>
        </w:rPr>
        <w:t>°</w:t>
      </w:r>
      <w:r w:rsidRPr="00D27C48">
        <w:rPr>
          <w:szCs w:val="28"/>
        </w:rPr>
        <w:t>С также</w:t>
      </w:r>
      <w:r w:rsidR="003D6B5C">
        <w:rPr>
          <w:szCs w:val="28"/>
        </w:rPr>
        <w:t xml:space="preserve"> должны быть</w:t>
      </w:r>
      <w:r w:rsidRPr="00D27C48">
        <w:rPr>
          <w:szCs w:val="28"/>
        </w:rPr>
        <w:t xml:space="preserve"> не страшны этим изделиям. Полиэтилен, используемый для производства емкостей, практически не</w:t>
      </w:r>
      <w:r w:rsidR="003D6B5C">
        <w:rPr>
          <w:szCs w:val="28"/>
        </w:rPr>
        <w:t xml:space="preserve"> должен</w:t>
      </w:r>
      <w:r w:rsidRPr="00D27C48">
        <w:rPr>
          <w:szCs w:val="28"/>
        </w:rPr>
        <w:t xml:space="preserve"> выделя</w:t>
      </w:r>
      <w:r w:rsidR="003D6B5C">
        <w:rPr>
          <w:szCs w:val="28"/>
        </w:rPr>
        <w:t>ть</w:t>
      </w:r>
      <w:r w:rsidRPr="00D27C48">
        <w:rPr>
          <w:szCs w:val="28"/>
        </w:rPr>
        <w:t xml:space="preserve"> в храним</w:t>
      </w:r>
      <w:r w:rsidR="003D6B5C">
        <w:rPr>
          <w:szCs w:val="28"/>
        </w:rPr>
        <w:t>ый</w:t>
      </w:r>
      <w:r w:rsidRPr="00D27C48">
        <w:rPr>
          <w:szCs w:val="28"/>
        </w:rPr>
        <w:t xml:space="preserve"> </w:t>
      </w:r>
      <w:r w:rsidR="003D6B5C">
        <w:rPr>
          <w:szCs w:val="28"/>
        </w:rPr>
        <w:t>реагент</w:t>
      </w:r>
      <w:r w:rsidRPr="00D27C48">
        <w:rPr>
          <w:szCs w:val="28"/>
        </w:rPr>
        <w:t xml:space="preserve"> свои компоненты, не </w:t>
      </w:r>
      <w:r w:rsidR="003D6B5C">
        <w:rPr>
          <w:szCs w:val="28"/>
        </w:rPr>
        <w:t xml:space="preserve">должен быть </w:t>
      </w:r>
      <w:r w:rsidRPr="00D27C48">
        <w:rPr>
          <w:szCs w:val="28"/>
        </w:rPr>
        <w:t>подвержен коррозии и устойчив к воздействию солнечного ультрафиолета.</w:t>
      </w:r>
    </w:p>
    <w:p w:rsidR="00A3475B" w:rsidRPr="00D27C48" w:rsidRDefault="00A3475B" w:rsidP="00A3475B">
      <w:pPr>
        <w:autoSpaceDE w:val="0"/>
        <w:autoSpaceDN w:val="0"/>
        <w:adjustRightInd w:val="0"/>
        <w:spacing w:before="120"/>
        <w:outlineLvl w:val="1"/>
        <w:rPr>
          <w:szCs w:val="28"/>
        </w:rPr>
      </w:pPr>
      <w:r w:rsidRPr="00D27C48">
        <w:rPr>
          <w:szCs w:val="28"/>
        </w:rPr>
        <w:t xml:space="preserve">Все пластиковые емкости в верхней части </w:t>
      </w:r>
      <w:r w:rsidR="003D6B5C">
        <w:rPr>
          <w:szCs w:val="28"/>
        </w:rPr>
        <w:t xml:space="preserve">должны иметь </w:t>
      </w:r>
      <w:r w:rsidRPr="00D27C48">
        <w:rPr>
          <w:szCs w:val="28"/>
        </w:rPr>
        <w:t xml:space="preserve">широкую заливную горловину диаметром от 360 до 520 мм с резьбой для крышки, которая входит в комплект. Широкая горловина </w:t>
      </w:r>
      <w:r w:rsidR="003D6B5C">
        <w:rPr>
          <w:szCs w:val="28"/>
        </w:rPr>
        <w:t xml:space="preserve">должна </w:t>
      </w:r>
      <w:r w:rsidRPr="00D27C48">
        <w:rPr>
          <w:szCs w:val="28"/>
        </w:rPr>
        <w:t>позволя</w:t>
      </w:r>
      <w:r w:rsidR="003D6B5C">
        <w:rPr>
          <w:szCs w:val="28"/>
        </w:rPr>
        <w:t>ть</w:t>
      </w:r>
      <w:r w:rsidRPr="00D27C48">
        <w:rPr>
          <w:szCs w:val="28"/>
        </w:rPr>
        <w:t xml:space="preserve"> легко производить профилактическую мойку емкости. В нижней части бочек </w:t>
      </w:r>
      <w:r w:rsidR="003D6B5C">
        <w:rPr>
          <w:szCs w:val="28"/>
        </w:rPr>
        <w:t xml:space="preserve">должно быть </w:t>
      </w:r>
      <w:r w:rsidRPr="00D27C48">
        <w:rPr>
          <w:szCs w:val="28"/>
        </w:rPr>
        <w:t>отформовано одно или два технических отверстия с внутренней резьбой 1 дюйм, к которым можно подсоединить кран или трубопровод для дренажного слива емкости при осуществлении технологической мойки или сброса осадка. Отверстия оснащаются заводской заглушкой.</w:t>
      </w:r>
    </w:p>
    <w:p w:rsidR="00A662A2" w:rsidRDefault="00E71037" w:rsidP="00E71037">
      <w:r>
        <w:t xml:space="preserve">Тара должна быть новой, не бывшей в эксплуатации, пригодной для транспортировки соответствующих жидкостей, иметь сертификат соответствия </w:t>
      </w:r>
    </w:p>
    <w:p w:rsidR="00E71037" w:rsidRDefault="00E71037">
      <w:pPr>
        <w:ind w:firstLine="0"/>
        <w:jc w:val="left"/>
      </w:pPr>
      <w:r>
        <w:br w:type="page"/>
      </w:r>
    </w:p>
    <w:p w:rsidR="00614B5D" w:rsidRPr="006B20BC" w:rsidRDefault="00614B5D" w:rsidP="008E6A71">
      <w:pPr>
        <w:ind w:firstLine="0"/>
        <w:jc w:val="center"/>
      </w:pPr>
    </w:p>
    <w:p w:rsidR="00371BD8" w:rsidRPr="00AD31A7" w:rsidRDefault="00371BD8" w:rsidP="00371BD8">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371BD8" w:rsidRPr="00343F05" w:rsidRDefault="00371BD8" w:rsidP="006D5652">
      <w:pPr>
        <w:ind w:right="-1" w:firstLine="0"/>
        <w:jc w:val="center"/>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2014</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2014</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011EF1" w:rsidRDefault="00371BD8" w:rsidP="00371BD8">
      <w:pPr>
        <w:pStyle w:val="ab"/>
        <w:numPr>
          <w:ilvl w:val="1"/>
          <w:numId w:val="23"/>
        </w:numPr>
        <w:ind w:left="0" w:right="-1" w:firstLine="720"/>
        <w:rPr>
          <w:b/>
        </w:rPr>
      </w:pPr>
      <w:r w:rsidRPr="00011EF1">
        <w:t xml:space="preserve">Предметом настоящего Договора является поставка </w:t>
      </w:r>
      <w:r w:rsidR="006D5652">
        <w:rPr>
          <w:b/>
          <w:bCs/>
        </w:rPr>
        <w:t xml:space="preserve">жидкого </w:t>
      </w:r>
      <w:proofErr w:type="spellStart"/>
      <w:r w:rsidR="006D5652">
        <w:rPr>
          <w:b/>
          <w:bCs/>
        </w:rPr>
        <w:t>антигололедного</w:t>
      </w:r>
      <w:proofErr w:type="spellEnd"/>
      <w:r w:rsidR="006D5652">
        <w:rPr>
          <w:b/>
          <w:bCs/>
        </w:rPr>
        <w:t xml:space="preserve"> реагента </w:t>
      </w:r>
      <w:r w:rsidR="00544641">
        <w:rPr>
          <w:b/>
        </w:rPr>
        <w:t>«</w:t>
      </w:r>
      <w:proofErr w:type="spellStart"/>
      <w:r w:rsidR="00544641">
        <w:rPr>
          <w:b/>
        </w:rPr>
        <w:t>НордвэйФ</w:t>
      </w:r>
      <w:proofErr w:type="spellEnd"/>
      <w:r w:rsidR="00544641">
        <w:rPr>
          <w:b/>
        </w:rPr>
        <w:t>»</w:t>
      </w:r>
      <w:r w:rsidR="006D5652">
        <w:rPr>
          <w:b/>
        </w:rPr>
        <w:t xml:space="preserve"> </w:t>
      </w:r>
      <w:r w:rsidR="006D5652">
        <w:rPr>
          <w:b/>
          <w:bCs/>
        </w:rPr>
        <w:t xml:space="preserve">для нужд ФКП «Аэропорты Камчатки» </w:t>
      </w:r>
      <w:r w:rsidR="006D5652" w:rsidRPr="006D5652">
        <w:rPr>
          <w:bCs/>
        </w:rPr>
        <w:t>в количестве 5</w:t>
      </w:r>
      <w:r w:rsidR="006D5652">
        <w:rPr>
          <w:bCs/>
        </w:rPr>
        <w:t xml:space="preserve"> (пяти)</w:t>
      </w:r>
      <w:r w:rsidR="006D5652" w:rsidRPr="006D5652">
        <w:rPr>
          <w:bCs/>
        </w:rPr>
        <w:t xml:space="preserve"> тонн</w:t>
      </w:r>
      <w:r>
        <w:rPr>
          <w:spacing w:val="-2"/>
        </w:rPr>
        <w:t>,  именуемых</w:t>
      </w:r>
      <w:r w:rsidRPr="00011EF1">
        <w:rPr>
          <w:spacing w:val="-2"/>
        </w:rPr>
        <w:t xml:space="preserve"> в дальнейшем «Товар».</w:t>
      </w:r>
    </w:p>
    <w:p w:rsidR="00371BD8" w:rsidRPr="00011EF1" w:rsidRDefault="00371BD8" w:rsidP="00371BD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371BD8" w:rsidRPr="00011EF1" w:rsidRDefault="00371BD8" w:rsidP="00371BD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371BD8" w:rsidRPr="00011EF1" w:rsidRDefault="00371BD8" w:rsidP="00371BD8">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371BD8" w:rsidRDefault="00371BD8" w:rsidP="00371BD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371BD8" w:rsidRPr="00011EF1" w:rsidRDefault="00371BD8" w:rsidP="00371BD8">
      <w:pPr>
        <w:pStyle w:val="af5"/>
        <w:spacing w:after="0"/>
        <w:ind w:firstLine="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371BD8" w:rsidRDefault="00371BD8" w:rsidP="00371BD8">
      <w:pPr>
        <w:autoSpaceDN w:val="0"/>
        <w:adjustRightInd w:val="0"/>
        <w:ind w:firstLine="720"/>
      </w:pPr>
      <w:r w:rsidRPr="00011EF1">
        <w:t xml:space="preserve">3.1. </w:t>
      </w:r>
      <w:r>
        <w:t xml:space="preserve">Поставка Товара осуществляется Поставщиком в срок не позднее 15 </w:t>
      </w:r>
      <w:r w:rsidR="006D5652">
        <w:t>августа</w:t>
      </w:r>
      <w:r>
        <w:t xml:space="preserve"> 2014 года.</w:t>
      </w:r>
      <w:r w:rsidR="00544641">
        <w:t xml:space="preserve"> Возможна досрочная поставка.</w:t>
      </w:r>
    </w:p>
    <w:p w:rsidR="00371BD8" w:rsidRDefault="00371BD8" w:rsidP="00371BD8">
      <w:pPr>
        <w:autoSpaceDN w:val="0"/>
        <w:adjustRightInd w:val="0"/>
        <w:ind w:firstLine="720"/>
      </w:pPr>
      <w:r>
        <w:t xml:space="preserve">3.2. Место поставки Товара Камчатский край, Петропавловск-Камчатский, </w:t>
      </w:r>
      <w:r w:rsidR="006D5652">
        <w:t>морской порт</w:t>
      </w:r>
      <w:r>
        <w:t>.</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371BD8" w:rsidRPr="00011EF1" w:rsidRDefault="00371BD8" w:rsidP="00371BD8">
      <w:pPr>
        <w:ind w:firstLine="720"/>
      </w:pPr>
      <w:r w:rsidRPr="00011EF1">
        <w:t>3.</w:t>
      </w:r>
      <w:r>
        <w:t>4</w:t>
      </w:r>
      <w:r w:rsidRPr="00011EF1">
        <w:t xml:space="preserve">. Сдача-приемка Товара по количеству </w:t>
      </w:r>
      <w:r>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371BD8" w:rsidRPr="00011EF1" w:rsidRDefault="00371BD8" w:rsidP="00371BD8">
      <w:pPr>
        <w:ind w:firstLine="720"/>
      </w:pPr>
      <w:r w:rsidRPr="00011EF1">
        <w:t xml:space="preserve">При приемке Товара Заказчик проверяет фактически получаемый Товар на предмет соответствия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71BD8" w:rsidRPr="00011EF1" w:rsidRDefault="00371BD8" w:rsidP="00371BD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71BD8" w:rsidRPr="00011EF1" w:rsidRDefault="00371BD8" w:rsidP="00371BD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w:t>
      </w:r>
      <w:r w:rsidRPr="00011EF1">
        <w:rPr>
          <w:color w:val="000000"/>
        </w:rPr>
        <w:lastRenderedPageBreak/>
        <w:t xml:space="preserve">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371BD8" w:rsidRPr="00011EF1" w:rsidRDefault="00371BD8" w:rsidP="00371BD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371BD8" w:rsidRPr="00011EF1" w:rsidRDefault="00371BD8" w:rsidP="00371BD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371BD8" w:rsidRPr="00011EF1" w:rsidRDefault="00371BD8" w:rsidP="00371BD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371BD8" w:rsidRPr="00011EF1" w:rsidRDefault="00371BD8" w:rsidP="00371BD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71BD8" w:rsidRPr="00011EF1" w:rsidRDefault="00371BD8" w:rsidP="00371BD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71BD8" w:rsidRPr="00011EF1" w:rsidRDefault="00371BD8" w:rsidP="00371BD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numPr>
          <w:ilvl w:val="0"/>
          <w:numId w:val="23"/>
        </w:numPr>
        <w:autoSpaceDN w:val="0"/>
        <w:adjustRightInd w:val="0"/>
        <w:ind w:firstLine="0"/>
        <w:jc w:val="center"/>
        <w:rPr>
          <w:b/>
          <w:bCs/>
        </w:rPr>
      </w:pPr>
      <w:r w:rsidRPr="0015494C">
        <w:rPr>
          <w:b/>
          <w:bCs/>
        </w:rPr>
        <w:t>КАЧЕСТВО ТОВАРА</w:t>
      </w:r>
    </w:p>
    <w:p w:rsidR="00371BD8" w:rsidRPr="00011EF1" w:rsidRDefault="00371BD8" w:rsidP="00544641">
      <w:pPr>
        <w:tabs>
          <w:tab w:val="left" w:pos="993"/>
        </w:tabs>
        <w:ind w:firstLine="720"/>
      </w:pPr>
      <w:r w:rsidRPr="00011EF1">
        <w:t xml:space="preserve">4.1.  Поставщик гарантирует качество поставляемого Товара. Гарантийный </w:t>
      </w:r>
      <w:r w:rsidRPr="00544641">
        <w:t xml:space="preserve">срок эксплуатации – </w:t>
      </w:r>
      <w:r w:rsidR="00544641">
        <w:t>24</w:t>
      </w:r>
      <w:r w:rsidRPr="00544641">
        <w:t xml:space="preserve"> месяц</w:t>
      </w:r>
      <w:r w:rsidR="00544641">
        <w:t>а</w:t>
      </w:r>
      <w:r w:rsidRPr="00544641">
        <w:t xml:space="preserve"> с момента подписания акта приема-передачи Товара.</w:t>
      </w:r>
    </w:p>
    <w:p w:rsidR="00371BD8" w:rsidRPr="00544641" w:rsidRDefault="00544641" w:rsidP="00544641">
      <w:pPr>
        <w:tabs>
          <w:tab w:val="left" w:pos="952"/>
        </w:tabs>
        <w:suppressAutoHyphens/>
      </w:pPr>
      <w:r>
        <w:t>4.2</w:t>
      </w:r>
      <w:r w:rsidR="00371BD8" w:rsidRPr="00011EF1">
        <w:t xml:space="preserve">. Поставляемый Товар по своему качеству должен соответствовать.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autoSpaceDN w:val="0"/>
        <w:adjustRightInd w:val="0"/>
        <w:ind w:left="0" w:firstLine="0"/>
        <w:jc w:val="center"/>
        <w:rPr>
          <w:b/>
          <w:bCs/>
        </w:rPr>
      </w:pPr>
      <w:r>
        <w:rPr>
          <w:b/>
          <w:bCs/>
        </w:rPr>
        <w:t xml:space="preserve">5. </w:t>
      </w:r>
      <w:r w:rsidRPr="0015494C">
        <w:rPr>
          <w:b/>
          <w:bCs/>
        </w:rPr>
        <w:t>ОБЯЗАННОСТИ СТОРОН</w:t>
      </w:r>
    </w:p>
    <w:p w:rsidR="00371BD8" w:rsidRPr="00011EF1" w:rsidRDefault="00371BD8" w:rsidP="00371BD8">
      <w:pPr>
        <w:autoSpaceDN w:val="0"/>
        <w:adjustRightInd w:val="0"/>
        <w:ind w:firstLine="720"/>
      </w:pPr>
      <w:r>
        <w:t>5</w:t>
      </w:r>
      <w:r w:rsidRPr="00011EF1">
        <w:t>.1. Поставщик</w:t>
      </w:r>
      <w:r w:rsidRPr="00011EF1">
        <w:rPr>
          <w:b/>
          <w:bCs/>
        </w:rPr>
        <w:t xml:space="preserve"> </w:t>
      </w:r>
      <w:r w:rsidRPr="00011EF1">
        <w:t>обязан:</w:t>
      </w:r>
    </w:p>
    <w:p w:rsidR="00371BD8" w:rsidRPr="00E83E80" w:rsidRDefault="00371BD8" w:rsidP="00371BD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371BD8" w:rsidRPr="00011EF1" w:rsidRDefault="00371BD8" w:rsidP="00371BD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371BD8" w:rsidRPr="00011EF1" w:rsidRDefault="00371BD8" w:rsidP="00371BD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371BD8" w:rsidRPr="00011EF1" w:rsidRDefault="00371BD8" w:rsidP="00371BD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371BD8" w:rsidRPr="00011EF1" w:rsidRDefault="00371BD8" w:rsidP="00371BD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71BD8" w:rsidRPr="00011EF1" w:rsidRDefault="00371BD8" w:rsidP="00371BD8">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371BD8" w:rsidRPr="00011EF1" w:rsidRDefault="00371BD8" w:rsidP="00371BD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371BD8" w:rsidRPr="00011EF1" w:rsidRDefault="00371BD8" w:rsidP="00371BD8">
      <w:pPr>
        <w:pStyle w:val="26"/>
        <w:spacing w:after="0" w:line="240" w:lineRule="auto"/>
        <w:ind w:left="0"/>
      </w:pPr>
      <w:r w:rsidRPr="00011EF1">
        <w:lastRenderedPageBreak/>
        <w:t>5.2. Заказчик обязан:</w:t>
      </w:r>
    </w:p>
    <w:p w:rsidR="00371BD8" w:rsidRPr="00011EF1" w:rsidRDefault="00371BD8" w:rsidP="00371BD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371BD8" w:rsidRPr="00011EF1" w:rsidRDefault="00371BD8" w:rsidP="00371BD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371BD8" w:rsidRPr="00A6724B" w:rsidRDefault="00371BD8" w:rsidP="00371BD8">
      <w:pPr>
        <w:shd w:val="clear" w:color="auto" w:fill="FFFFFF"/>
        <w:tabs>
          <w:tab w:val="left" w:pos="952"/>
        </w:tabs>
        <w:suppressAutoHyphens/>
        <w:ind w:firstLine="720"/>
        <w:rPr>
          <w:color w:val="000000"/>
        </w:rPr>
      </w:pPr>
    </w:p>
    <w:p w:rsidR="00371BD8" w:rsidRPr="0015494C" w:rsidRDefault="00371BD8" w:rsidP="00371BD8">
      <w:pPr>
        <w:pStyle w:val="ab"/>
        <w:tabs>
          <w:tab w:val="left" w:pos="993"/>
        </w:tabs>
        <w:ind w:left="0" w:firstLine="0"/>
        <w:jc w:val="center"/>
        <w:rPr>
          <w:b/>
          <w:bCs/>
        </w:rPr>
      </w:pPr>
      <w:r>
        <w:rPr>
          <w:b/>
          <w:bCs/>
        </w:rPr>
        <w:t xml:space="preserve">6. </w:t>
      </w:r>
      <w:r w:rsidRPr="0015494C">
        <w:rPr>
          <w:b/>
          <w:bCs/>
        </w:rPr>
        <w:t>ОТВЕТСТВЕННОСТЬ СТОРОН</w:t>
      </w:r>
    </w:p>
    <w:p w:rsidR="00371BD8" w:rsidRPr="00011EF1" w:rsidRDefault="00371BD8" w:rsidP="00371BD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71BD8" w:rsidRPr="00011EF1" w:rsidRDefault="00371BD8" w:rsidP="00371BD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371BD8" w:rsidP="00371BD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Default="00371BD8" w:rsidP="00371BD8">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44641" w:rsidRDefault="00544641" w:rsidP="00371BD8"/>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371BD8" w:rsidRDefault="00371BD8" w:rsidP="00371BD8">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 от настоящего договора.</w:t>
      </w:r>
    </w:p>
    <w:p w:rsidR="00544641" w:rsidRDefault="00544641" w:rsidP="00371BD8"/>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lastRenderedPageBreak/>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371BD8" w:rsidRPr="00011EF1" w:rsidRDefault="00371BD8" w:rsidP="00371BD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011EF1" w:rsidRDefault="00371BD8" w:rsidP="00371BD8">
      <w:pPr>
        <w:ind w:firstLine="720"/>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371BD8" w:rsidRPr="00011EF1" w:rsidTr="00A3475B">
        <w:trPr>
          <w:trHeight w:val="183"/>
        </w:trPr>
        <w:tc>
          <w:tcPr>
            <w:tcW w:w="5070" w:type="dxa"/>
          </w:tcPr>
          <w:p w:rsidR="00371BD8" w:rsidRPr="00011EF1" w:rsidRDefault="00371BD8" w:rsidP="00A3475B">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371BD8" w:rsidRPr="00011EF1" w:rsidRDefault="00371BD8" w:rsidP="00A3475B">
            <w:pPr>
              <w:shd w:val="clear" w:color="auto" w:fill="FFFFFF"/>
              <w:snapToGrid w:val="0"/>
              <w:spacing w:line="264" w:lineRule="exact"/>
              <w:ind w:left="34"/>
              <w:rPr>
                <w:spacing w:val="3"/>
              </w:rPr>
            </w:pPr>
            <w:r w:rsidRPr="00011EF1">
              <w:rPr>
                <w:spacing w:val="3"/>
              </w:rPr>
              <w:t>"Поставщик":</w:t>
            </w:r>
          </w:p>
        </w:tc>
      </w:tr>
      <w:tr w:rsidR="00371BD8" w:rsidRPr="00011EF1" w:rsidTr="00A3475B">
        <w:trPr>
          <w:trHeight w:val="183"/>
        </w:trPr>
        <w:tc>
          <w:tcPr>
            <w:tcW w:w="5070" w:type="dxa"/>
          </w:tcPr>
          <w:p w:rsidR="00371BD8" w:rsidRPr="00DE4ED5" w:rsidRDefault="00371BD8" w:rsidP="00A3475B">
            <w:pPr>
              <w:shd w:val="clear" w:color="auto" w:fill="FFFFFF"/>
              <w:snapToGrid w:val="0"/>
              <w:spacing w:line="264" w:lineRule="exact"/>
              <w:ind w:left="34" w:hanging="34"/>
              <w:rPr>
                <w:spacing w:val="3"/>
              </w:rPr>
            </w:pPr>
            <w:r w:rsidRPr="00DE4ED5">
              <w:rPr>
                <w:bCs/>
                <w:spacing w:val="3"/>
              </w:rPr>
              <w:t>ФКП "Аэропорты Камчатки"</w:t>
            </w:r>
          </w:p>
          <w:p w:rsidR="00371BD8" w:rsidRPr="00DE4ED5" w:rsidRDefault="00371BD8" w:rsidP="00A3475B">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371BD8" w:rsidRPr="00011EF1" w:rsidRDefault="00371BD8" w:rsidP="00A3475B">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371BD8" w:rsidRPr="00011EF1" w:rsidRDefault="00371BD8" w:rsidP="00A3475B">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A3475B">
            <w:pPr>
              <w:shd w:val="clear" w:color="auto" w:fill="FFFFFF"/>
              <w:snapToGrid w:val="0"/>
              <w:spacing w:line="264" w:lineRule="exact"/>
              <w:ind w:firstLine="0"/>
              <w:rPr>
                <w:spacing w:val="3"/>
              </w:rPr>
            </w:pPr>
          </w:p>
        </w:tc>
      </w:tr>
      <w:tr w:rsidR="00371BD8" w:rsidRPr="00011EF1" w:rsidTr="00A3475B">
        <w:trPr>
          <w:trHeight w:val="1589"/>
        </w:trPr>
        <w:tc>
          <w:tcPr>
            <w:tcW w:w="5070" w:type="dxa"/>
          </w:tcPr>
          <w:p w:rsidR="00371BD8" w:rsidRPr="00011EF1" w:rsidRDefault="00371BD8" w:rsidP="00A3475B">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371BD8" w:rsidRPr="00011EF1" w:rsidRDefault="00371BD8" w:rsidP="00A3475B">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proofErr w:type="spellStart"/>
            <w:r w:rsidRPr="00011EF1">
              <w:rPr>
                <w:spacing w:val="3"/>
              </w:rPr>
              <w:t>Камчаткомагропромбанк</w:t>
            </w:r>
            <w:proofErr w:type="spellEnd"/>
            <w:r w:rsidRPr="00011EF1">
              <w:rPr>
                <w:spacing w:val="3"/>
              </w:rPr>
              <w:t>"</w:t>
            </w:r>
          </w:p>
          <w:p w:rsidR="00371BD8" w:rsidRPr="00011EF1" w:rsidRDefault="00371BD8" w:rsidP="00A3475B">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A3475B">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371BD8" w:rsidRPr="00011EF1" w:rsidRDefault="00371BD8" w:rsidP="00A3475B">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A3475B">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A3475B">
            <w:pPr>
              <w:shd w:val="clear" w:color="auto" w:fill="FFFFFF"/>
              <w:snapToGrid w:val="0"/>
              <w:spacing w:line="264" w:lineRule="exact"/>
              <w:ind w:left="34"/>
              <w:rPr>
                <w:spacing w:val="3"/>
              </w:rPr>
            </w:pPr>
          </w:p>
        </w:tc>
      </w:tr>
      <w:tr w:rsidR="00371BD8" w:rsidRPr="00011EF1" w:rsidTr="00A3475B">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A3475B">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A3475B">
            <w:pPr>
              <w:shd w:val="clear" w:color="auto" w:fill="FFFFFF"/>
              <w:snapToGrid w:val="0"/>
              <w:spacing w:line="264" w:lineRule="exact"/>
              <w:ind w:left="34" w:hanging="36"/>
              <w:rPr>
                <w:spacing w:val="3"/>
              </w:rPr>
            </w:pPr>
            <w:r w:rsidRPr="00011EF1">
              <w:rPr>
                <w:spacing w:val="3"/>
              </w:rPr>
              <w:t>ФКП «Аэропорты Камчатки»</w:t>
            </w:r>
          </w:p>
          <w:p w:rsidR="00371BD8" w:rsidRPr="00011EF1" w:rsidRDefault="00371BD8" w:rsidP="00A3475B">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A3475B">
            <w:pPr>
              <w:shd w:val="clear" w:color="auto" w:fill="FFFFFF"/>
              <w:snapToGrid w:val="0"/>
              <w:spacing w:line="264" w:lineRule="exact"/>
              <w:ind w:left="34" w:hanging="36"/>
              <w:rPr>
                <w:spacing w:val="3"/>
              </w:rPr>
            </w:pPr>
            <w:proofErr w:type="spellStart"/>
            <w:r w:rsidRPr="00011EF1">
              <w:rPr>
                <w:spacing w:val="3"/>
              </w:rPr>
              <w:t>мп</w:t>
            </w:r>
            <w:proofErr w:type="spellEnd"/>
          </w:p>
          <w:p w:rsidR="00371BD8" w:rsidRPr="00011EF1" w:rsidRDefault="00371BD8" w:rsidP="00A3475B">
            <w:pPr>
              <w:shd w:val="clear" w:color="auto" w:fill="FFFFFF"/>
              <w:snapToGrid w:val="0"/>
              <w:spacing w:line="264" w:lineRule="exact"/>
              <w:ind w:left="34" w:hanging="36"/>
              <w:rPr>
                <w:spacing w:val="3"/>
              </w:rPr>
            </w:pPr>
            <w:r w:rsidRPr="00011EF1">
              <w:rPr>
                <w:spacing w:val="3"/>
              </w:rPr>
              <w:t>«___» ___________ 201</w:t>
            </w:r>
            <w:r>
              <w:rPr>
                <w:spacing w:val="3"/>
              </w:rPr>
              <w:t>4</w:t>
            </w:r>
            <w:r w:rsidRPr="00011EF1">
              <w:rPr>
                <w:spacing w:val="3"/>
              </w:rPr>
              <w:t xml:space="preserve"> г.</w:t>
            </w:r>
          </w:p>
        </w:tc>
        <w:tc>
          <w:tcPr>
            <w:tcW w:w="4830" w:type="dxa"/>
          </w:tcPr>
          <w:p w:rsidR="00371BD8" w:rsidRPr="00011EF1" w:rsidRDefault="00371BD8" w:rsidP="00A3475B">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336AD7" w:rsidRDefault="00336AD7" w:rsidP="00371BD8">
      <w:pPr>
        <w:ind w:firstLine="0"/>
      </w:pPr>
    </w:p>
    <w:p w:rsidR="00336AD7" w:rsidRDefault="00336AD7" w:rsidP="00256303">
      <w:pPr>
        <w:ind w:firstLine="0"/>
        <w:jc w:val="right"/>
      </w:pPr>
    </w:p>
    <w:p w:rsidR="00336AD7" w:rsidRDefault="00336AD7" w:rsidP="001D762A">
      <w:pPr>
        <w:ind w:firstLine="0"/>
      </w:pPr>
    </w:p>
    <w:p w:rsidR="00544641" w:rsidRDefault="00544641" w:rsidP="00256303">
      <w:pPr>
        <w:ind w:firstLine="0"/>
        <w:jc w:val="right"/>
      </w:pPr>
    </w:p>
    <w:p w:rsidR="00544641" w:rsidRDefault="00544641" w:rsidP="00256303">
      <w:pPr>
        <w:ind w:firstLine="0"/>
        <w:jc w:val="right"/>
      </w:pPr>
    </w:p>
    <w:p w:rsidR="00544641" w:rsidRDefault="00544641" w:rsidP="00256303">
      <w:pPr>
        <w:ind w:firstLine="0"/>
        <w:jc w:val="right"/>
      </w:pPr>
    </w:p>
    <w:p w:rsidR="00544641" w:rsidRDefault="00544641" w:rsidP="00256303">
      <w:pPr>
        <w:ind w:firstLine="0"/>
        <w:jc w:val="right"/>
      </w:pPr>
    </w:p>
    <w:p w:rsidR="00544641" w:rsidRDefault="00544641" w:rsidP="00256303">
      <w:pPr>
        <w:ind w:firstLine="0"/>
        <w:jc w:val="right"/>
      </w:pPr>
    </w:p>
    <w:p w:rsidR="001946A0" w:rsidRPr="00011EF1" w:rsidRDefault="001946A0" w:rsidP="00256303">
      <w:pPr>
        <w:ind w:firstLine="0"/>
        <w:jc w:val="right"/>
      </w:pPr>
      <w:r w:rsidRPr="00011EF1">
        <w:lastRenderedPageBreak/>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544641" w:rsidRDefault="00544641" w:rsidP="00544641">
      <w:pPr>
        <w:jc w:val="center"/>
        <w:rPr>
          <w:b/>
        </w:rPr>
      </w:pPr>
      <w:r>
        <w:rPr>
          <w:b/>
        </w:rPr>
        <w:t>Техническое задание</w:t>
      </w:r>
    </w:p>
    <w:p w:rsidR="00544641" w:rsidRDefault="00544641" w:rsidP="00544641">
      <w:pPr>
        <w:jc w:val="center"/>
        <w:rPr>
          <w:b/>
        </w:rPr>
      </w:pPr>
      <w:r>
        <w:rPr>
          <w:b/>
        </w:rPr>
        <w:t xml:space="preserve">на  поставку жидкого </w:t>
      </w:r>
      <w:proofErr w:type="spellStart"/>
      <w:r>
        <w:rPr>
          <w:b/>
        </w:rPr>
        <w:t>антигололедного</w:t>
      </w:r>
      <w:proofErr w:type="spellEnd"/>
      <w:r>
        <w:rPr>
          <w:b/>
        </w:rPr>
        <w:t xml:space="preserve"> реагента «</w:t>
      </w:r>
      <w:proofErr w:type="spellStart"/>
      <w:r>
        <w:rPr>
          <w:b/>
        </w:rPr>
        <w:t>НордвэйФ</w:t>
      </w:r>
      <w:proofErr w:type="spellEnd"/>
      <w:r>
        <w:rPr>
          <w:b/>
        </w:rPr>
        <w:t xml:space="preserve">» </w:t>
      </w:r>
    </w:p>
    <w:p w:rsidR="00544641" w:rsidRPr="00894A00" w:rsidRDefault="00544641" w:rsidP="00544641">
      <w:pPr>
        <w:autoSpaceDE w:val="0"/>
        <w:autoSpaceDN w:val="0"/>
        <w:adjustRightInd w:val="0"/>
        <w:spacing w:before="120" w:after="120"/>
        <w:outlineLvl w:val="1"/>
        <w:rPr>
          <w:b/>
          <w:szCs w:val="28"/>
          <w:u w:val="single"/>
        </w:rPr>
      </w:pPr>
      <w:proofErr w:type="spellStart"/>
      <w:r w:rsidRPr="00894A00">
        <w:rPr>
          <w:b/>
          <w:szCs w:val="28"/>
          <w:u w:val="single"/>
        </w:rPr>
        <w:t>Антигололедный</w:t>
      </w:r>
      <w:proofErr w:type="spellEnd"/>
      <w:r w:rsidRPr="00894A00">
        <w:rPr>
          <w:b/>
          <w:szCs w:val="28"/>
          <w:u w:val="single"/>
        </w:rPr>
        <w:t xml:space="preserve"> реагент </w:t>
      </w:r>
      <w:r>
        <w:rPr>
          <w:b/>
          <w:szCs w:val="28"/>
          <w:u w:val="single"/>
        </w:rPr>
        <w:t>«</w:t>
      </w:r>
      <w:proofErr w:type="spellStart"/>
      <w:r w:rsidRPr="00894A00">
        <w:rPr>
          <w:b/>
          <w:szCs w:val="28"/>
          <w:u w:val="single"/>
        </w:rPr>
        <w:t>НордвэйФ</w:t>
      </w:r>
      <w:proofErr w:type="spellEnd"/>
      <w:r>
        <w:rPr>
          <w:b/>
          <w:szCs w:val="28"/>
          <w:u w:val="single"/>
        </w:rPr>
        <w:t>» в количестве 5 (пяти) тонн</w:t>
      </w:r>
    </w:p>
    <w:p w:rsidR="00544641" w:rsidRPr="00894A00" w:rsidRDefault="00544641" w:rsidP="00544641">
      <w:pPr>
        <w:autoSpaceDE w:val="0"/>
        <w:autoSpaceDN w:val="0"/>
        <w:adjustRightInd w:val="0"/>
        <w:spacing w:before="120"/>
        <w:outlineLvl w:val="1"/>
        <w:rPr>
          <w:szCs w:val="28"/>
        </w:rPr>
      </w:pPr>
      <w:r w:rsidRPr="00894A00">
        <w:rPr>
          <w:szCs w:val="28"/>
        </w:rPr>
        <w:t xml:space="preserve">Жидкий </w:t>
      </w:r>
      <w:proofErr w:type="spellStart"/>
      <w:r w:rsidRPr="00894A00">
        <w:rPr>
          <w:szCs w:val="28"/>
        </w:rPr>
        <w:t>антигололедный</w:t>
      </w:r>
      <w:proofErr w:type="spellEnd"/>
      <w:r w:rsidRPr="00894A00">
        <w:rPr>
          <w:szCs w:val="28"/>
        </w:rPr>
        <w:t xml:space="preserve"> реагент на основе формиата калия разработан с учетом заявок потребителей, заинтересованных в </w:t>
      </w:r>
      <w:proofErr w:type="spellStart"/>
      <w:r w:rsidRPr="00894A00">
        <w:rPr>
          <w:szCs w:val="28"/>
        </w:rPr>
        <w:t>антигололедных</w:t>
      </w:r>
      <w:proofErr w:type="spellEnd"/>
      <w:r w:rsidRPr="00894A00">
        <w:rPr>
          <w:szCs w:val="28"/>
        </w:rPr>
        <w:t xml:space="preserve"> материалах, предназначенных для применения в экстремальных климатических условиях, и в тоже время имеющих высокие экологические характеристики.</w:t>
      </w:r>
    </w:p>
    <w:p w:rsidR="00544641" w:rsidRPr="00894A00" w:rsidRDefault="00544641" w:rsidP="00544641">
      <w:pPr>
        <w:autoSpaceDE w:val="0"/>
        <w:autoSpaceDN w:val="0"/>
        <w:adjustRightInd w:val="0"/>
        <w:spacing w:before="120"/>
        <w:outlineLvl w:val="1"/>
        <w:rPr>
          <w:szCs w:val="28"/>
        </w:rPr>
      </w:pPr>
      <w:r>
        <w:rPr>
          <w:szCs w:val="28"/>
        </w:rPr>
        <w:t>Ж</w:t>
      </w:r>
      <w:r w:rsidRPr="00894A00">
        <w:rPr>
          <w:szCs w:val="28"/>
        </w:rPr>
        <w:t xml:space="preserve">идкий </w:t>
      </w:r>
      <w:proofErr w:type="spellStart"/>
      <w:r w:rsidRPr="00894A00">
        <w:rPr>
          <w:szCs w:val="28"/>
        </w:rPr>
        <w:t>формиатный</w:t>
      </w:r>
      <w:proofErr w:type="spellEnd"/>
      <w:r w:rsidRPr="00894A00">
        <w:rPr>
          <w:szCs w:val="28"/>
        </w:rPr>
        <w:t xml:space="preserve"> </w:t>
      </w:r>
      <w:proofErr w:type="spellStart"/>
      <w:r w:rsidRPr="00894A00">
        <w:rPr>
          <w:szCs w:val="28"/>
        </w:rPr>
        <w:t>антигололедный</w:t>
      </w:r>
      <w:proofErr w:type="spellEnd"/>
      <w:r w:rsidRPr="00894A00">
        <w:rPr>
          <w:szCs w:val="28"/>
        </w:rPr>
        <w:t xml:space="preserve"> реагент </w:t>
      </w:r>
      <w:r>
        <w:rPr>
          <w:szCs w:val="28"/>
        </w:rPr>
        <w:t>«</w:t>
      </w:r>
      <w:proofErr w:type="spellStart"/>
      <w:r w:rsidRPr="00894A00">
        <w:rPr>
          <w:szCs w:val="28"/>
        </w:rPr>
        <w:t>НордвэйФ</w:t>
      </w:r>
      <w:proofErr w:type="spellEnd"/>
      <w:r>
        <w:rPr>
          <w:szCs w:val="28"/>
        </w:rPr>
        <w:t>»</w:t>
      </w:r>
      <w:r w:rsidRPr="00894A00">
        <w:rPr>
          <w:szCs w:val="28"/>
        </w:rPr>
        <w:t xml:space="preserve"> </w:t>
      </w:r>
      <w:r>
        <w:rPr>
          <w:szCs w:val="28"/>
        </w:rPr>
        <w:t>не должен иметь</w:t>
      </w:r>
      <w:r w:rsidRPr="00894A00">
        <w:rPr>
          <w:szCs w:val="28"/>
        </w:rPr>
        <w:t xml:space="preserve"> характерного запаха, обладат</w:t>
      </w:r>
      <w:r>
        <w:rPr>
          <w:szCs w:val="28"/>
        </w:rPr>
        <w:t>ь</w:t>
      </w:r>
      <w:r w:rsidRPr="00894A00">
        <w:rPr>
          <w:szCs w:val="28"/>
        </w:rPr>
        <w:t xml:space="preserve"> меньшим временем </w:t>
      </w:r>
      <w:proofErr w:type="spellStart"/>
      <w:r w:rsidRPr="00894A00">
        <w:rPr>
          <w:szCs w:val="28"/>
        </w:rPr>
        <w:t>биораспада</w:t>
      </w:r>
      <w:proofErr w:type="spellEnd"/>
      <w:r w:rsidRPr="00894A00">
        <w:rPr>
          <w:szCs w:val="28"/>
        </w:rPr>
        <w:t xml:space="preserve"> и несколько лучшими эксплуатационными характеристиками.</w:t>
      </w:r>
    </w:p>
    <w:p w:rsidR="00544641" w:rsidRPr="00C675AF" w:rsidRDefault="00544641" w:rsidP="00544641">
      <w:pPr>
        <w:autoSpaceDE w:val="0"/>
        <w:autoSpaceDN w:val="0"/>
        <w:adjustRightInd w:val="0"/>
        <w:spacing w:before="120"/>
        <w:outlineLvl w:val="1"/>
        <w:rPr>
          <w:b/>
          <w:szCs w:val="28"/>
        </w:rPr>
      </w:pPr>
      <w:r w:rsidRPr="00894A00">
        <w:rPr>
          <w:szCs w:val="28"/>
        </w:rPr>
        <w:t xml:space="preserve"> </w:t>
      </w:r>
      <w:proofErr w:type="spellStart"/>
      <w:r w:rsidRPr="00894A00">
        <w:rPr>
          <w:szCs w:val="28"/>
        </w:rPr>
        <w:t>Антигололедный</w:t>
      </w:r>
      <w:proofErr w:type="spellEnd"/>
      <w:r w:rsidRPr="00894A00">
        <w:rPr>
          <w:szCs w:val="28"/>
        </w:rPr>
        <w:t xml:space="preserve"> реагент </w:t>
      </w:r>
      <w:r>
        <w:rPr>
          <w:szCs w:val="28"/>
        </w:rPr>
        <w:t>«</w:t>
      </w:r>
      <w:proofErr w:type="spellStart"/>
      <w:r w:rsidRPr="00894A00">
        <w:rPr>
          <w:szCs w:val="28"/>
        </w:rPr>
        <w:t>НордвэйФ</w:t>
      </w:r>
      <w:proofErr w:type="spellEnd"/>
      <w:r>
        <w:rPr>
          <w:szCs w:val="28"/>
        </w:rPr>
        <w:t>»</w:t>
      </w:r>
      <w:r w:rsidRPr="00894A00">
        <w:rPr>
          <w:szCs w:val="28"/>
        </w:rPr>
        <w:t xml:space="preserve"> полностью</w:t>
      </w:r>
      <w:r>
        <w:rPr>
          <w:szCs w:val="28"/>
        </w:rPr>
        <w:t xml:space="preserve"> должен соответствова</w:t>
      </w:r>
      <w:r w:rsidRPr="00894A00">
        <w:rPr>
          <w:szCs w:val="28"/>
        </w:rPr>
        <w:t>т</w:t>
      </w:r>
      <w:r>
        <w:rPr>
          <w:szCs w:val="28"/>
        </w:rPr>
        <w:t>ь</w:t>
      </w:r>
      <w:r w:rsidRPr="00894A00">
        <w:rPr>
          <w:szCs w:val="28"/>
        </w:rPr>
        <w:t xml:space="preserve"> требованиям российских и международных стандартов авиационной, дорожной и </w:t>
      </w:r>
      <w:r>
        <w:rPr>
          <w:szCs w:val="28"/>
        </w:rPr>
        <w:t>экологической безопасности. Име</w:t>
      </w:r>
      <w:r w:rsidRPr="00894A00">
        <w:rPr>
          <w:szCs w:val="28"/>
        </w:rPr>
        <w:t>т</w:t>
      </w:r>
      <w:r>
        <w:rPr>
          <w:szCs w:val="28"/>
        </w:rPr>
        <w:t>ь</w:t>
      </w:r>
      <w:r w:rsidRPr="00894A00">
        <w:rPr>
          <w:szCs w:val="28"/>
        </w:rPr>
        <w:t xml:space="preserve"> сертификаты соответствия SMI (AMS 1435) ФАВТ (А.09.02252)</w:t>
      </w:r>
      <w:proofErr w:type="gramStart"/>
      <w:r w:rsidRPr="00894A00">
        <w:rPr>
          <w:szCs w:val="28"/>
        </w:rPr>
        <w:t>.</w:t>
      </w:r>
      <w:proofErr w:type="gramEnd"/>
      <w:r>
        <w:rPr>
          <w:szCs w:val="28"/>
        </w:rPr>
        <w:t xml:space="preserve"> </w:t>
      </w:r>
      <w:r w:rsidRPr="00C675AF">
        <w:rPr>
          <w:b/>
          <w:szCs w:val="28"/>
        </w:rPr>
        <w:t>(</w:t>
      </w:r>
      <w:proofErr w:type="gramStart"/>
      <w:r w:rsidRPr="00C675AF">
        <w:rPr>
          <w:b/>
          <w:szCs w:val="28"/>
        </w:rPr>
        <w:t>к</w:t>
      </w:r>
      <w:proofErr w:type="gramEnd"/>
      <w:r w:rsidRPr="00C675AF">
        <w:rPr>
          <w:b/>
          <w:szCs w:val="28"/>
        </w:rPr>
        <w:t>опии сертификатов прилагаются в составе заявки).</w:t>
      </w:r>
    </w:p>
    <w:p w:rsidR="00544641" w:rsidRDefault="00544641" w:rsidP="00544641">
      <w:pPr>
        <w:autoSpaceDE w:val="0"/>
        <w:autoSpaceDN w:val="0"/>
        <w:adjustRightInd w:val="0"/>
        <w:spacing w:before="120"/>
        <w:outlineLvl w:val="1"/>
        <w:rPr>
          <w:szCs w:val="28"/>
        </w:rPr>
      </w:pPr>
      <w:r w:rsidRPr="00894A00">
        <w:rPr>
          <w:szCs w:val="28"/>
        </w:rPr>
        <w:t>Рекомендуется: к применению в районах с экстремальными климатическими условиями и имеющих повышенные экологические требования.</w:t>
      </w:r>
    </w:p>
    <w:p w:rsidR="00544641" w:rsidRDefault="00544641" w:rsidP="00544641">
      <w:pPr>
        <w:autoSpaceDE w:val="0"/>
        <w:autoSpaceDN w:val="0"/>
        <w:adjustRightInd w:val="0"/>
        <w:spacing w:before="120" w:after="120"/>
        <w:outlineLvl w:val="1"/>
        <w:rPr>
          <w:szCs w:val="28"/>
        </w:rPr>
      </w:pPr>
    </w:p>
    <w:tbl>
      <w:tblPr>
        <w:tblW w:w="9356" w:type="dxa"/>
        <w:tblInd w:w="55" w:type="dxa"/>
        <w:tblLayout w:type="fixed"/>
        <w:tblCellMar>
          <w:top w:w="55" w:type="dxa"/>
          <w:left w:w="55" w:type="dxa"/>
          <w:bottom w:w="55" w:type="dxa"/>
          <w:right w:w="55" w:type="dxa"/>
        </w:tblCellMar>
        <w:tblLook w:val="0000"/>
      </w:tblPr>
      <w:tblGrid>
        <w:gridCol w:w="6237"/>
        <w:gridCol w:w="3119"/>
      </w:tblGrid>
      <w:tr w:rsidR="00544641" w:rsidRPr="0073397C" w:rsidTr="002B24D1">
        <w:trPr>
          <w:tblHeader/>
        </w:trPr>
        <w:tc>
          <w:tcPr>
            <w:tcW w:w="9356" w:type="dxa"/>
            <w:gridSpan w:val="2"/>
            <w:tcBorders>
              <w:top w:val="single" w:sz="1" w:space="0" w:color="000000"/>
              <w:left w:val="single" w:sz="1" w:space="0" w:color="000000"/>
              <w:bottom w:val="single" w:sz="1" w:space="0" w:color="000000"/>
              <w:right w:val="single" w:sz="4" w:space="0" w:color="auto"/>
            </w:tcBorders>
          </w:tcPr>
          <w:p w:rsidR="00544641" w:rsidRPr="0073397C" w:rsidRDefault="00544641" w:rsidP="002B24D1">
            <w:pPr>
              <w:pStyle w:val="aff4"/>
              <w:tabs>
                <w:tab w:val="left" w:pos="850"/>
              </w:tabs>
              <w:snapToGrid w:val="0"/>
              <w:jc w:val="center"/>
              <w:rPr>
                <w:rFonts w:cs="Tahoma"/>
                <w:b/>
                <w:bCs/>
                <w:sz w:val="26"/>
                <w:szCs w:val="28"/>
              </w:rPr>
            </w:pPr>
            <w:r w:rsidRPr="00894A00">
              <w:rPr>
                <w:rFonts w:ascii="Times New Roman" w:hAnsi="Times New Roman"/>
                <w:b/>
                <w:szCs w:val="28"/>
              </w:rPr>
              <w:t xml:space="preserve">Основные характеристики </w:t>
            </w:r>
            <w:proofErr w:type="spellStart"/>
            <w:r>
              <w:rPr>
                <w:rFonts w:ascii="Times New Roman" w:hAnsi="Times New Roman"/>
                <w:b/>
                <w:szCs w:val="28"/>
              </w:rPr>
              <w:t>антигололедного</w:t>
            </w:r>
            <w:proofErr w:type="spellEnd"/>
            <w:r>
              <w:rPr>
                <w:rFonts w:ascii="Times New Roman" w:hAnsi="Times New Roman"/>
                <w:b/>
                <w:szCs w:val="28"/>
              </w:rPr>
              <w:t xml:space="preserve"> реагента</w:t>
            </w:r>
            <w:r w:rsidRPr="00894A00">
              <w:rPr>
                <w:rFonts w:ascii="Times New Roman" w:hAnsi="Times New Roman"/>
                <w:b/>
                <w:szCs w:val="28"/>
              </w:rPr>
              <w:t>:</w:t>
            </w:r>
          </w:p>
        </w:tc>
      </w:tr>
      <w:tr w:rsidR="00544641" w:rsidRPr="007F5C3E" w:rsidTr="002B24D1">
        <w:trPr>
          <w:trHeight w:val="35"/>
          <w:tblHeader/>
        </w:trPr>
        <w:tc>
          <w:tcPr>
            <w:tcW w:w="6237"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tcPr>
          <w:p w:rsidR="00544641" w:rsidRPr="007F5C3E" w:rsidRDefault="00544641" w:rsidP="002B24D1">
            <w:pPr>
              <w:pStyle w:val="aff5"/>
              <w:snapToGrid w:val="0"/>
              <w:rPr>
                <w:rFonts w:cs="Tahoma"/>
                <w:b w:val="0"/>
                <w:bCs w:val="0"/>
                <w:iCs w:val="0"/>
                <w:sz w:val="22"/>
                <w:szCs w:val="28"/>
              </w:rPr>
            </w:pPr>
            <w:r w:rsidRPr="007F5C3E">
              <w:rPr>
                <w:rFonts w:cs="Tahoma"/>
                <w:b w:val="0"/>
                <w:bCs w:val="0"/>
                <w:iCs w:val="0"/>
                <w:sz w:val="22"/>
                <w:szCs w:val="28"/>
              </w:rPr>
              <w:t>1</w:t>
            </w:r>
          </w:p>
        </w:tc>
        <w:tc>
          <w:tcPr>
            <w:tcW w:w="3119"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tcPr>
          <w:p w:rsidR="00544641" w:rsidRPr="007F5C3E" w:rsidRDefault="00544641" w:rsidP="002B24D1">
            <w:pPr>
              <w:pStyle w:val="aff4"/>
              <w:tabs>
                <w:tab w:val="left" w:pos="850"/>
              </w:tabs>
              <w:snapToGrid w:val="0"/>
              <w:jc w:val="center"/>
              <w:rPr>
                <w:rFonts w:cs="Tahoma"/>
                <w:bCs/>
                <w:i/>
                <w:sz w:val="22"/>
                <w:szCs w:val="28"/>
              </w:rPr>
            </w:pPr>
            <w:r w:rsidRPr="007F5C3E">
              <w:rPr>
                <w:rFonts w:cs="Tahoma"/>
                <w:bCs/>
                <w:i/>
                <w:sz w:val="22"/>
                <w:szCs w:val="28"/>
              </w:rPr>
              <w:t>2</w:t>
            </w:r>
          </w:p>
        </w:tc>
      </w:tr>
      <w:tr w:rsidR="00544641" w:rsidRPr="0073397C" w:rsidTr="002B24D1">
        <w:tc>
          <w:tcPr>
            <w:tcW w:w="6237" w:type="dxa"/>
            <w:tcBorders>
              <w:left w:val="single" w:sz="1" w:space="0" w:color="000000"/>
              <w:bottom w:val="single" w:sz="1" w:space="0" w:color="000000"/>
              <w:right w:val="single" w:sz="2" w:space="0" w:color="000000"/>
            </w:tcBorders>
          </w:tcPr>
          <w:p w:rsidR="00544641" w:rsidRPr="0073397C" w:rsidRDefault="00544641" w:rsidP="002B24D1">
            <w:pPr>
              <w:pStyle w:val="aff4"/>
              <w:tabs>
                <w:tab w:val="left" w:pos="170"/>
              </w:tabs>
              <w:snapToGrid w:val="0"/>
              <w:ind w:left="87"/>
              <w:jc w:val="both"/>
              <w:rPr>
                <w:rFonts w:cs="Tahoma"/>
                <w:sz w:val="26"/>
                <w:szCs w:val="28"/>
              </w:rPr>
            </w:pPr>
            <w:r w:rsidRPr="0073397C">
              <w:rPr>
                <w:rFonts w:cs="Tahoma"/>
                <w:sz w:val="26"/>
                <w:szCs w:val="28"/>
              </w:rPr>
              <w:t>1. Внешний вид</w:t>
            </w:r>
          </w:p>
        </w:tc>
        <w:tc>
          <w:tcPr>
            <w:tcW w:w="3119" w:type="dxa"/>
            <w:tcBorders>
              <w:top w:val="single" w:sz="2" w:space="0" w:color="000000"/>
              <w:left w:val="single" w:sz="2" w:space="0" w:color="000000"/>
              <w:bottom w:val="single" w:sz="2" w:space="0" w:color="000000"/>
              <w:right w:val="single" w:sz="4" w:space="0" w:color="auto"/>
            </w:tcBorders>
          </w:tcPr>
          <w:p w:rsidR="00544641" w:rsidRPr="0073397C" w:rsidRDefault="00544641" w:rsidP="002B24D1">
            <w:pPr>
              <w:pStyle w:val="aff4"/>
              <w:snapToGrid w:val="0"/>
              <w:jc w:val="center"/>
              <w:rPr>
                <w:rFonts w:cs="Tahoma"/>
                <w:sz w:val="26"/>
                <w:szCs w:val="28"/>
              </w:rPr>
            </w:pPr>
            <w:r w:rsidRPr="00894A00">
              <w:rPr>
                <w:rFonts w:ascii="Times New Roman" w:hAnsi="Times New Roman"/>
                <w:szCs w:val="28"/>
              </w:rPr>
              <w:t>прозрачная жидкость</w:t>
            </w:r>
          </w:p>
        </w:tc>
      </w:tr>
      <w:tr w:rsidR="00544641" w:rsidRPr="0073397C" w:rsidTr="002B24D1">
        <w:tc>
          <w:tcPr>
            <w:tcW w:w="6237" w:type="dxa"/>
            <w:tcBorders>
              <w:left w:val="single" w:sz="1" w:space="0" w:color="000000"/>
              <w:bottom w:val="single" w:sz="1" w:space="0" w:color="000000"/>
              <w:right w:val="single" w:sz="2" w:space="0" w:color="000000"/>
            </w:tcBorders>
          </w:tcPr>
          <w:p w:rsidR="00544641" w:rsidRPr="0073397C" w:rsidRDefault="00544641" w:rsidP="002B24D1">
            <w:pPr>
              <w:pStyle w:val="aff4"/>
              <w:tabs>
                <w:tab w:val="left" w:pos="170"/>
              </w:tabs>
              <w:snapToGrid w:val="0"/>
              <w:ind w:left="87"/>
              <w:jc w:val="both"/>
              <w:rPr>
                <w:rFonts w:cs="Tahoma"/>
                <w:sz w:val="26"/>
                <w:szCs w:val="28"/>
              </w:rPr>
            </w:pPr>
            <w:r w:rsidRPr="0073397C">
              <w:rPr>
                <w:rFonts w:cs="Tahoma"/>
                <w:sz w:val="26"/>
                <w:szCs w:val="28"/>
              </w:rPr>
              <w:t>2.</w:t>
            </w:r>
            <w:r w:rsidRPr="00894A00">
              <w:rPr>
                <w:rFonts w:ascii="Times New Roman" w:hAnsi="Times New Roman"/>
                <w:szCs w:val="28"/>
              </w:rPr>
              <w:t xml:space="preserve"> Плотность раствора</w:t>
            </w:r>
          </w:p>
        </w:tc>
        <w:tc>
          <w:tcPr>
            <w:tcW w:w="3119" w:type="dxa"/>
            <w:tcBorders>
              <w:top w:val="single" w:sz="2" w:space="0" w:color="000000"/>
              <w:left w:val="single" w:sz="2" w:space="0" w:color="000000"/>
              <w:bottom w:val="single" w:sz="2" w:space="0" w:color="000000"/>
              <w:right w:val="single" w:sz="4" w:space="0" w:color="auto"/>
            </w:tcBorders>
          </w:tcPr>
          <w:p w:rsidR="00544641" w:rsidRPr="0073397C" w:rsidRDefault="00544641" w:rsidP="002B24D1">
            <w:pPr>
              <w:pStyle w:val="aff4"/>
              <w:snapToGrid w:val="0"/>
              <w:jc w:val="center"/>
              <w:rPr>
                <w:rFonts w:cs="Tahoma"/>
                <w:sz w:val="26"/>
                <w:szCs w:val="28"/>
              </w:rPr>
            </w:pPr>
            <w:r w:rsidRPr="00894A00">
              <w:rPr>
                <w:rFonts w:ascii="Times New Roman" w:hAnsi="Times New Roman"/>
                <w:szCs w:val="28"/>
              </w:rPr>
              <w:t>1,25-1,30 г/куб.см.</w:t>
            </w:r>
          </w:p>
        </w:tc>
      </w:tr>
      <w:tr w:rsidR="00544641" w:rsidRPr="0073397C" w:rsidTr="002B24D1">
        <w:tc>
          <w:tcPr>
            <w:tcW w:w="6237" w:type="dxa"/>
            <w:tcBorders>
              <w:left w:val="single" w:sz="1" w:space="0" w:color="000000"/>
              <w:bottom w:val="single" w:sz="1" w:space="0" w:color="000000"/>
              <w:right w:val="single" w:sz="2" w:space="0" w:color="000000"/>
            </w:tcBorders>
          </w:tcPr>
          <w:p w:rsidR="00544641" w:rsidRPr="0073397C" w:rsidRDefault="00544641" w:rsidP="002B24D1">
            <w:pPr>
              <w:pStyle w:val="aff4"/>
              <w:tabs>
                <w:tab w:val="left" w:pos="170"/>
              </w:tabs>
              <w:snapToGrid w:val="0"/>
              <w:ind w:left="87"/>
              <w:jc w:val="both"/>
              <w:rPr>
                <w:rFonts w:cs="Tahoma"/>
                <w:sz w:val="26"/>
                <w:szCs w:val="28"/>
              </w:rPr>
            </w:pPr>
            <w:r w:rsidRPr="0073397C">
              <w:rPr>
                <w:rFonts w:cs="Tahoma"/>
                <w:sz w:val="26"/>
                <w:szCs w:val="28"/>
              </w:rPr>
              <w:t xml:space="preserve">3. </w:t>
            </w:r>
            <w:r w:rsidRPr="0073397C">
              <w:rPr>
                <w:rFonts w:cs="Tahoma" w:hint="cs"/>
                <w:sz w:val="26"/>
                <w:szCs w:val="28"/>
              </w:rPr>
              <w:t>Кислотность</w:t>
            </w:r>
            <w:r w:rsidRPr="0073397C">
              <w:rPr>
                <w:rFonts w:cs="Tahoma"/>
                <w:sz w:val="26"/>
                <w:szCs w:val="28"/>
              </w:rPr>
              <w:t xml:space="preserve"> (</w:t>
            </w:r>
            <w:proofErr w:type="spellStart"/>
            <w:r w:rsidRPr="0073397C">
              <w:rPr>
                <w:rFonts w:cs="Tahoma"/>
                <w:sz w:val="26"/>
                <w:szCs w:val="28"/>
              </w:rPr>
              <w:t>рН</w:t>
            </w:r>
            <w:proofErr w:type="spellEnd"/>
            <w:r w:rsidRPr="0073397C">
              <w:rPr>
                <w:rFonts w:cs="Tahoma"/>
                <w:sz w:val="26"/>
                <w:szCs w:val="28"/>
              </w:rPr>
              <w:t>)</w:t>
            </w:r>
          </w:p>
        </w:tc>
        <w:tc>
          <w:tcPr>
            <w:tcW w:w="3119" w:type="dxa"/>
            <w:tcBorders>
              <w:top w:val="single" w:sz="2" w:space="0" w:color="000000"/>
              <w:left w:val="single" w:sz="2" w:space="0" w:color="000000"/>
              <w:bottom w:val="single" w:sz="2" w:space="0" w:color="000000"/>
              <w:right w:val="single" w:sz="4" w:space="0" w:color="auto"/>
            </w:tcBorders>
          </w:tcPr>
          <w:p w:rsidR="00544641" w:rsidRPr="0073397C" w:rsidRDefault="00544641" w:rsidP="002B24D1">
            <w:pPr>
              <w:pStyle w:val="aff4"/>
              <w:snapToGrid w:val="0"/>
              <w:jc w:val="center"/>
              <w:rPr>
                <w:rFonts w:cs="Tahoma"/>
                <w:sz w:val="26"/>
                <w:szCs w:val="28"/>
              </w:rPr>
            </w:pPr>
            <w:r>
              <w:rPr>
                <w:rFonts w:cs="Tahoma"/>
                <w:sz w:val="26"/>
                <w:szCs w:val="28"/>
              </w:rPr>
              <w:t>9,0</w:t>
            </w:r>
            <w:r w:rsidRPr="0073397C">
              <w:rPr>
                <w:rFonts w:cs="Tahoma"/>
                <w:sz w:val="26"/>
                <w:szCs w:val="28"/>
              </w:rPr>
              <w:t xml:space="preserve"> – </w:t>
            </w:r>
            <w:r>
              <w:rPr>
                <w:rFonts w:cs="Tahoma"/>
                <w:sz w:val="26"/>
                <w:szCs w:val="28"/>
              </w:rPr>
              <w:t>11,0</w:t>
            </w:r>
          </w:p>
        </w:tc>
      </w:tr>
      <w:tr w:rsidR="00544641" w:rsidRPr="0073397C" w:rsidTr="002B24D1">
        <w:trPr>
          <w:trHeight w:val="106"/>
        </w:trPr>
        <w:tc>
          <w:tcPr>
            <w:tcW w:w="6237" w:type="dxa"/>
            <w:tcBorders>
              <w:left w:val="single" w:sz="1" w:space="0" w:color="000000"/>
              <w:bottom w:val="single" w:sz="1" w:space="0" w:color="000000"/>
              <w:right w:val="single" w:sz="2" w:space="0" w:color="000000"/>
            </w:tcBorders>
          </w:tcPr>
          <w:p w:rsidR="00544641" w:rsidRPr="0073397C" w:rsidRDefault="00544641" w:rsidP="002B24D1">
            <w:pPr>
              <w:pStyle w:val="aff4"/>
              <w:tabs>
                <w:tab w:val="left" w:pos="170"/>
                <w:tab w:val="left" w:pos="230"/>
              </w:tabs>
              <w:snapToGrid w:val="0"/>
              <w:ind w:left="87"/>
              <w:jc w:val="both"/>
              <w:rPr>
                <w:rFonts w:cs="Tahoma"/>
                <w:sz w:val="26"/>
                <w:szCs w:val="28"/>
              </w:rPr>
            </w:pPr>
            <w:r w:rsidRPr="0073397C">
              <w:rPr>
                <w:rFonts w:cs="Tahoma"/>
                <w:sz w:val="26"/>
                <w:szCs w:val="28"/>
              </w:rPr>
              <w:t xml:space="preserve">4. </w:t>
            </w:r>
            <w:r w:rsidRPr="00894A00">
              <w:rPr>
                <w:rFonts w:ascii="Times New Roman" w:hAnsi="Times New Roman"/>
                <w:szCs w:val="28"/>
              </w:rPr>
              <w:t>Температура замерзания</w:t>
            </w:r>
          </w:p>
        </w:tc>
        <w:tc>
          <w:tcPr>
            <w:tcW w:w="3119" w:type="dxa"/>
            <w:tcBorders>
              <w:top w:val="single" w:sz="2" w:space="0" w:color="000000"/>
              <w:left w:val="single" w:sz="2" w:space="0" w:color="000000"/>
              <w:bottom w:val="single" w:sz="2" w:space="0" w:color="000000"/>
              <w:right w:val="single" w:sz="4" w:space="0" w:color="auto"/>
            </w:tcBorders>
          </w:tcPr>
          <w:p w:rsidR="00544641" w:rsidRPr="0073397C" w:rsidRDefault="00544641" w:rsidP="002B24D1">
            <w:pPr>
              <w:autoSpaceDE w:val="0"/>
              <w:autoSpaceDN w:val="0"/>
              <w:adjustRightInd w:val="0"/>
              <w:jc w:val="center"/>
              <w:outlineLvl w:val="1"/>
              <w:rPr>
                <w:rFonts w:cs="Tahoma"/>
                <w:sz w:val="26"/>
                <w:szCs w:val="28"/>
              </w:rPr>
            </w:pPr>
            <w:r w:rsidRPr="00894A00">
              <w:rPr>
                <w:szCs w:val="28"/>
              </w:rPr>
              <w:t>Ниже -50</w:t>
            </w:r>
          </w:p>
        </w:tc>
      </w:tr>
      <w:tr w:rsidR="00544641" w:rsidRPr="0073397C" w:rsidTr="002B24D1">
        <w:tc>
          <w:tcPr>
            <w:tcW w:w="6237" w:type="dxa"/>
            <w:tcBorders>
              <w:left w:val="single" w:sz="1" w:space="0" w:color="000000"/>
              <w:bottom w:val="single" w:sz="1" w:space="0" w:color="000000"/>
              <w:right w:val="single" w:sz="2" w:space="0" w:color="000000"/>
            </w:tcBorders>
          </w:tcPr>
          <w:p w:rsidR="00544641" w:rsidRPr="0073397C" w:rsidRDefault="00544641" w:rsidP="002B24D1">
            <w:pPr>
              <w:pStyle w:val="aff4"/>
              <w:tabs>
                <w:tab w:val="left" w:pos="170"/>
              </w:tabs>
              <w:snapToGrid w:val="0"/>
              <w:ind w:left="87"/>
              <w:jc w:val="both"/>
              <w:rPr>
                <w:rFonts w:cs="Tahoma"/>
                <w:sz w:val="26"/>
                <w:szCs w:val="28"/>
              </w:rPr>
            </w:pPr>
            <w:r w:rsidRPr="0073397C">
              <w:rPr>
                <w:rFonts w:cs="Tahoma"/>
                <w:sz w:val="26"/>
                <w:szCs w:val="28"/>
              </w:rPr>
              <w:t xml:space="preserve">5. </w:t>
            </w:r>
            <w:r w:rsidRPr="00894A00">
              <w:rPr>
                <w:rFonts w:ascii="Times New Roman" w:hAnsi="Times New Roman"/>
                <w:szCs w:val="28"/>
              </w:rPr>
              <w:t>Коэффициент агрессивности (воздействие на бетон)</w:t>
            </w:r>
          </w:p>
        </w:tc>
        <w:tc>
          <w:tcPr>
            <w:tcW w:w="3119" w:type="dxa"/>
            <w:tcBorders>
              <w:top w:val="single" w:sz="2" w:space="0" w:color="000000"/>
              <w:left w:val="single" w:sz="2" w:space="0" w:color="000000"/>
              <w:bottom w:val="single" w:sz="2" w:space="0" w:color="000000"/>
              <w:right w:val="single" w:sz="4" w:space="0" w:color="auto"/>
            </w:tcBorders>
          </w:tcPr>
          <w:p w:rsidR="00544641" w:rsidRPr="0073397C" w:rsidRDefault="00544641" w:rsidP="002B24D1">
            <w:pPr>
              <w:pStyle w:val="aff4"/>
              <w:snapToGrid w:val="0"/>
              <w:jc w:val="center"/>
              <w:rPr>
                <w:rFonts w:cs="Tahoma"/>
                <w:sz w:val="26"/>
                <w:szCs w:val="28"/>
              </w:rPr>
            </w:pPr>
            <w:r w:rsidRPr="00894A00">
              <w:rPr>
                <w:rFonts w:ascii="Times New Roman" w:hAnsi="Times New Roman"/>
                <w:szCs w:val="28"/>
              </w:rPr>
              <w:t>не выше 0,2</w:t>
            </w:r>
          </w:p>
        </w:tc>
      </w:tr>
      <w:tr w:rsidR="00544641" w:rsidRPr="0073397C" w:rsidTr="002B24D1">
        <w:tc>
          <w:tcPr>
            <w:tcW w:w="6237" w:type="dxa"/>
            <w:tcBorders>
              <w:left w:val="single" w:sz="1" w:space="0" w:color="000000"/>
              <w:bottom w:val="single" w:sz="1" w:space="0" w:color="000000"/>
              <w:right w:val="single" w:sz="2" w:space="0" w:color="000000"/>
            </w:tcBorders>
          </w:tcPr>
          <w:p w:rsidR="00544641" w:rsidRPr="0073397C" w:rsidRDefault="00544641" w:rsidP="002B24D1">
            <w:pPr>
              <w:pStyle w:val="aff4"/>
              <w:tabs>
                <w:tab w:val="left" w:pos="170"/>
              </w:tabs>
              <w:snapToGrid w:val="0"/>
              <w:ind w:left="87"/>
              <w:rPr>
                <w:rFonts w:cs="Tahoma"/>
                <w:sz w:val="26"/>
                <w:szCs w:val="28"/>
              </w:rPr>
            </w:pPr>
            <w:r w:rsidRPr="0073397C">
              <w:rPr>
                <w:rFonts w:cs="Tahoma"/>
                <w:sz w:val="26"/>
                <w:szCs w:val="28"/>
              </w:rPr>
              <w:t xml:space="preserve">6. </w:t>
            </w:r>
            <w:r w:rsidRPr="00894A00">
              <w:rPr>
                <w:rFonts w:ascii="Times New Roman" w:hAnsi="Times New Roman"/>
                <w:szCs w:val="28"/>
              </w:rPr>
              <w:t>Коррозионное воздействие на сталь, кадмиевое и цинковое покрытие, алюминиевый сплав</w:t>
            </w:r>
          </w:p>
        </w:tc>
        <w:tc>
          <w:tcPr>
            <w:tcW w:w="3119" w:type="dxa"/>
            <w:tcBorders>
              <w:top w:val="single" w:sz="2" w:space="0" w:color="000000"/>
              <w:left w:val="single" w:sz="2" w:space="0" w:color="000000"/>
              <w:bottom w:val="single" w:sz="2" w:space="0" w:color="000000"/>
              <w:right w:val="single" w:sz="4" w:space="0" w:color="auto"/>
            </w:tcBorders>
          </w:tcPr>
          <w:p w:rsidR="00544641" w:rsidRPr="0073397C" w:rsidRDefault="00544641" w:rsidP="002B24D1">
            <w:pPr>
              <w:pStyle w:val="aff4"/>
              <w:snapToGrid w:val="0"/>
              <w:jc w:val="center"/>
              <w:rPr>
                <w:rFonts w:cs="Tahoma"/>
                <w:sz w:val="26"/>
                <w:szCs w:val="28"/>
              </w:rPr>
            </w:pPr>
            <w:r w:rsidRPr="00894A00">
              <w:rPr>
                <w:rFonts w:ascii="Times New Roman" w:hAnsi="Times New Roman"/>
                <w:szCs w:val="28"/>
              </w:rPr>
              <w:t>не выше 0,05 г/кв. м. в час</w:t>
            </w:r>
          </w:p>
        </w:tc>
      </w:tr>
      <w:tr w:rsidR="00544641" w:rsidRPr="0073397C" w:rsidTr="002B24D1">
        <w:tc>
          <w:tcPr>
            <w:tcW w:w="6237" w:type="dxa"/>
            <w:tcBorders>
              <w:left w:val="single" w:sz="1" w:space="0" w:color="000000"/>
              <w:bottom w:val="single" w:sz="1" w:space="0" w:color="000000"/>
              <w:right w:val="single" w:sz="2" w:space="0" w:color="000000"/>
            </w:tcBorders>
          </w:tcPr>
          <w:p w:rsidR="00544641" w:rsidRPr="0073397C" w:rsidRDefault="00544641" w:rsidP="002B24D1">
            <w:pPr>
              <w:pStyle w:val="aff4"/>
              <w:tabs>
                <w:tab w:val="left" w:pos="170"/>
                <w:tab w:val="left" w:pos="305"/>
              </w:tabs>
              <w:snapToGrid w:val="0"/>
              <w:ind w:left="87"/>
              <w:jc w:val="both"/>
              <w:rPr>
                <w:rFonts w:cs="Tahoma"/>
                <w:sz w:val="26"/>
                <w:szCs w:val="28"/>
              </w:rPr>
            </w:pPr>
            <w:r w:rsidRPr="0073397C">
              <w:rPr>
                <w:rFonts w:cs="Tahoma"/>
                <w:sz w:val="26"/>
                <w:szCs w:val="28"/>
              </w:rPr>
              <w:t xml:space="preserve">7. </w:t>
            </w:r>
            <w:r w:rsidRPr="00894A00">
              <w:rPr>
                <w:rFonts w:ascii="Times New Roman" w:hAnsi="Times New Roman"/>
                <w:szCs w:val="28"/>
              </w:rPr>
              <w:t>Коэффициент сцепления после удаления продуктов разрушения</w:t>
            </w:r>
          </w:p>
        </w:tc>
        <w:tc>
          <w:tcPr>
            <w:tcW w:w="3119" w:type="dxa"/>
            <w:tcBorders>
              <w:top w:val="single" w:sz="2" w:space="0" w:color="000000"/>
              <w:left w:val="single" w:sz="2" w:space="0" w:color="000000"/>
              <w:bottom w:val="single" w:sz="2" w:space="0" w:color="000000"/>
              <w:right w:val="single" w:sz="4" w:space="0" w:color="auto"/>
            </w:tcBorders>
          </w:tcPr>
          <w:p w:rsidR="00544641" w:rsidRPr="0073397C" w:rsidRDefault="00544641" w:rsidP="002B24D1">
            <w:pPr>
              <w:pStyle w:val="aff4"/>
              <w:snapToGrid w:val="0"/>
              <w:jc w:val="center"/>
              <w:rPr>
                <w:rFonts w:cs="Tahoma"/>
                <w:sz w:val="26"/>
                <w:szCs w:val="28"/>
              </w:rPr>
            </w:pPr>
            <w:r w:rsidRPr="00894A00">
              <w:rPr>
                <w:rFonts w:ascii="Times New Roman" w:hAnsi="Times New Roman"/>
                <w:szCs w:val="28"/>
              </w:rPr>
              <w:t>не менее 80% от величины сцепления на мокрой поверхности</w:t>
            </w:r>
          </w:p>
        </w:tc>
      </w:tr>
    </w:tbl>
    <w:p w:rsidR="00544641" w:rsidRDefault="00544641" w:rsidP="00544641">
      <w:pPr>
        <w:autoSpaceDE w:val="0"/>
        <w:autoSpaceDN w:val="0"/>
        <w:adjustRightInd w:val="0"/>
        <w:spacing w:before="120"/>
        <w:outlineLvl w:val="1"/>
        <w:rPr>
          <w:b/>
          <w:szCs w:val="28"/>
          <w:u w:val="single"/>
        </w:rPr>
      </w:pPr>
      <w:r>
        <w:rPr>
          <w:b/>
          <w:szCs w:val="28"/>
          <w:u w:val="single"/>
        </w:rPr>
        <w:t>Гарантия качества Товара:</w:t>
      </w:r>
      <w:r w:rsidRPr="00544641">
        <w:rPr>
          <w:szCs w:val="28"/>
        </w:rPr>
        <w:t xml:space="preserve">  24 месяца со дня подписания акта приема-передачи в мор</w:t>
      </w:r>
      <w:r>
        <w:rPr>
          <w:szCs w:val="28"/>
        </w:rPr>
        <w:t>с</w:t>
      </w:r>
      <w:r w:rsidRPr="00544641">
        <w:rPr>
          <w:szCs w:val="28"/>
        </w:rPr>
        <w:t>ком порту г. Петропавловска-Камчатского.</w:t>
      </w:r>
    </w:p>
    <w:p w:rsidR="00544641" w:rsidRPr="000F4FED" w:rsidRDefault="00544641" w:rsidP="00544641">
      <w:pPr>
        <w:autoSpaceDE w:val="0"/>
        <w:autoSpaceDN w:val="0"/>
        <w:adjustRightInd w:val="0"/>
        <w:spacing w:before="120"/>
        <w:outlineLvl w:val="1"/>
      </w:pPr>
      <w:r w:rsidRPr="00A626DB">
        <w:rPr>
          <w:b/>
          <w:szCs w:val="28"/>
          <w:u w:val="single"/>
        </w:rPr>
        <w:t>Тара:</w:t>
      </w:r>
      <w:r w:rsidRPr="00A3475B">
        <w:rPr>
          <w:szCs w:val="28"/>
        </w:rPr>
        <w:t xml:space="preserve"> </w:t>
      </w:r>
      <w:r>
        <w:rPr>
          <w:szCs w:val="28"/>
        </w:rPr>
        <w:t xml:space="preserve">поставка </w:t>
      </w:r>
      <w:proofErr w:type="spellStart"/>
      <w:r>
        <w:rPr>
          <w:szCs w:val="28"/>
        </w:rPr>
        <w:t>антигололедного</w:t>
      </w:r>
      <w:proofErr w:type="spellEnd"/>
      <w:r>
        <w:rPr>
          <w:szCs w:val="28"/>
        </w:rPr>
        <w:t xml:space="preserve"> реагента</w:t>
      </w:r>
      <w:r w:rsidRPr="000F4FED">
        <w:rPr>
          <w:szCs w:val="28"/>
        </w:rPr>
        <w:t xml:space="preserve"> должна производиться в п</w:t>
      </w:r>
      <w:r>
        <w:rPr>
          <w:szCs w:val="28"/>
        </w:rPr>
        <w:t>ластик</w:t>
      </w:r>
      <w:r w:rsidRPr="000F4FED">
        <w:rPr>
          <w:szCs w:val="28"/>
        </w:rPr>
        <w:t>ов</w:t>
      </w:r>
      <w:r>
        <w:rPr>
          <w:szCs w:val="28"/>
        </w:rPr>
        <w:t>ых емкостях объемом 1000 л, исключающих возможность случайного повреждения при опрокидывании во время транспортировки.</w:t>
      </w:r>
    </w:p>
    <w:p w:rsidR="00544641" w:rsidRPr="00D27C48" w:rsidRDefault="00544641" w:rsidP="00544641">
      <w:pPr>
        <w:autoSpaceDE w:val="0"/>
        <w:autoSpaceDN w:val="0"/>
        <w:adjustRightInd w:val="0"/>
        <w:spacing w:before="120"/>
        <w:outlineLvl w:val="1"/>
        <w:rPr>
          <w:szCs w:val="28"/>
        </w:rPr>
      </w:pPr>
      <w:r w:rsidRPr="00D27C48">
        <w:rPr>
          <w:szCs w:val="28"/>
        </w:rPr>
        <w:t xml:space="preserve">Главные требования, предъявляемые к </w:t>
      </w:r>
      <w:r>
        <w:rPr>
          <w:szCs w:val="28"/>
        </w:rPr>
        <w:t xml:space="preserve">пластиковым </w:t>
      </w:r>
      <w:r w:rsidRPr="00D27C48">
        <w:rPr>
          <w:szCs w:val="28"/>
        </w:rPr>
        <w:t>емкостям</w:t>
      </w:r>
      <w:r>
        <w:rPr>
          <w:szCs w:val="28"/>
        </w:rPr>
        <w:t>:</w:t>
      </w:r>
      <w:r w:rsidRPr="00D27C48">
        <w:rPr>
          <w:szCs w:val="28"/>
        </w:rPr>
        <w:t xml:space="preserve"> длительность эксплуатации, химическая устойчивость к передаче в </w:t>
      </w:r>
      <w:r>
        <w:rPr>
          <w:szCs w:val="28"/>
        </w:rPr>
        <w:t>хранимые жидкости</w:t>
      </w:r>
      <w:r w:rsidRPr="00D27C48">
        <w:rPr>
          <w:szCs w:val="28"/>
        </w:rPr>
        <w:t xml:space="preserve"> компонентов материала емкости. Материалы, используемые при производстве пластиковых емкостей, </w:t>
      </w:r>
      <w:r>
        <w:rPr>
          <w:szCs w:val="28"/>
        </w:rPr>
        <w:t xml:space="preserve">должны </w:t>
      </w:r>
      <w:r w:rsidRPr="00D27C48">
        <w:rPr>
          <w:szCs w:val="28"/>
        </w:rPr>
        <w:t>позволя</w:t>
      </w:r>
      <w:r>
        <w:rPr>
          <w:szCs w:val="28"/>
        </w:rPr>
        <w:t>ть</w:t>
      </w:r>
      <w:r w:rsidRPr="00D27C48">
        <w:rPr>
          <w:szCs w:val="28"/>
        </w:rPr>
        <w:t xml:space="preserve"> эксплуатировать емкости при температурах до +50</w:t>
      </w:r>
      <w:proofErr w:type="gramStart"/>
      <w:r>
        <w:rPr>
          <w:szCs w:val="28"/>
        </w:rPr>
        <w:t>°</w:t>
      </w:r>
      <w:r w:rsidRPr="00D27C48">
        <w:rPr>
          <w:szCs w:val="28"/>
        </w:rPr>
        <w:t>С</w:t>
      </w:r>
      <w:proofErr w:type="gramEnd"/>
      <w:r w:rsidRPr="00D27C48">
        <w:rPr>
          <w:szCs w:val="28"/>
        </w:rPr>
        <w:t>, в зимний период низкие температуры до  -40</w:t>
      </w:r>
      <w:r>
        <w:rPr>
          <w:szCs w:val="28"/>
        </w:rPr>
        <w:t>°</w:t>
      </w:r>
      <w:r w:rsidRPr="00D27C48">
        <w:rPr>
          <w:szCs w:val="28"/>
        </w:rPr>
        <w:t>С также</w:t>
      </w:r>
      <w:r>
        <w:rPr>
          <w:szCs w:val="28"/>
        </w:rPr>
        <w:t xml:space="preserve"> должны быть</w:t>
      </w:r>
      <w:r w:rsidRPr="00D27C48">
        <w:rPr>
          <w:szCs w:val="28"/>
        </w:rPr>
        <w:t xml:space="preserve"> не страшны этим изделиям. Полиэтилен, используемый для производства емкостей, практически не</w:t>
      </w:r>
      <w:r>
        <w:rPr>
          <w:szCs w:val="28"/>
        </w:rPr>
        <w:t xml:space="preserve"> должен</w:t>
      </w:r>
      <w:r w:rsidRPr="00D27C48">
        <w:rPr>
          <w:szCs w:val="28"/>
        </w:rPr>
        <w:t xml:space="preserve"> выделя</w:t>
      </w:r>
      <w:r>
        <w:rPr>
          <w:szCs w:val="28"/>
        </w:rPr>
        <w:t>ть</w:t>
      </w:r>
      <w:r w:rsidRPr="00D27C48">
        <w:rPr>
          <w:szCs w:val="28"/>
        </w:rPr>
        <w:t xml:space="preserve"> </w:t>
      </w:r>
      <w:r w:rsidRPr="00D27C48">
        <w:rPr>
          <w:szCs w:val="28"/>
        </w:rPr>
        <w:lastRenderedPageBreak/>
        <w:t>в храним</w:t>
      </w:r>
      <w:r>
        <w:rPr>
          <w:szCs w:val="28"/>
        </w:rPr>
        <w:t>ый</w:t>
      </w:r>
      <w:r w:rsidRPr="00D27C48">
        <w:rPr>
          <w:szCs w:val="28"/>
        </w:rPr>
        <w:t xml:space="preserve"> </w:t>
      </w:r>
      <w:r>
        <w:rPr>
          <w:szCs w:val="28"/>
        </w:rPr>
        <w:t>реагент</w:t>
      </w:r>
      <w:r w:rsidRPr="00D27C48">
        <w:rPr>
          <w:szCs w:val="28"/>
        </w:rPr>
        <w:t xml:space="preserve"> свои компоненты, не </w:t>
      </w:r>
      <w:r>
        <w:rPr>
          <w:szCs w:val="28"/>
        </w:rPr>
        <w:t xml:space="preserve">должен быть </w:t>
      </w:r>
      <w:r w:rsidRPr="00D27C48">
        <w:rPr>
          <w:szCs w:val="28"/>
        </w:rPr>
        <w:t>подвержен коррозии и устойчив к воздействию солнечного ультрафиолета.</w:t>
      </w:r>
    </w:p>
    <w:p w:rsidR="00544641" w:rsidRPr="00D27C48" w:rsidRDefault="00544641" w:rsidP="00544641">
      <w:pPr>
        <w:autoSpaceDE w:val="0"/>
        <w:autoSpaceDN w:val="0"/>
        <w:adjustRightInd w:val="0"/>
        <w:spacing w:before="120"/>
        <w:outlineLvl w:val="1"/>
        <w:rPr>
          <w:szCs w:val="28"/>
        </w:rPr>
      </w:pPr>
      <w:r w:rsidRPr="00D27C48">
        <w:rPr>
          <w:szCs w:val="28"/>
        </w:rPr>
        <w:t xml:space="preserve">Все пластиковые емкости в верхней части </w:t>
      </w:r>
      <w:r>
        <w:rPr>
          <w:szCs w:val="28"/>
        </w:rPr>
        <w:t xml:space="preserve">должны иметь </w:t>
      </w:r>
      <w:r w:rsidRPr="00D27C48">
        <w:rPr>
          <w:szCs w:val="28"/>
        </w:rPr>
        <w:t xml:space="preserve">широкую заливную горловину диаметром от 360 до 520 мм с резьбой для крышки, которая входит в комплект. Широкая горловина </w:t>
      </w:r>
      <w:r>
        <w:rPr>
          <w:szCs w:val="28"/>
        </w:rPr>
        <w:t xml:space="preserve">должна </w:t>
      </w:r>
      <w:r w:rsidRPr="00D27C48">
        <w:rPr>
          <w:szCs w:val="28"/>
        </w:rPr>
        <w:t>позволя</w:t>
      </w:r>
      <w:r>
        <w:rPr>
          <w:szCs w:val="28"/>
        </w:rPr>
        <w:t>ть</w:t>
      </w:r>
      <w:r w:rsidRPr="00D27C48">
        <w:rPr>
          <w:szCs w:val="28"/>
        </w:rPr>
        <w:t xml:space="preserve"> легко производить профилактическую мойку емкости. В нижней части бочек </w:t>
      </w:r>
      <w:r>
        <w:rPr>
          <w:szCs w:val="28"/>
        </w:rPr>
        <w:t xml:space="preserve">должно быть </w:t>
      </w:r>
      <w:r w:rsidRPr="00D27C48">
        <w:rPr>
          <w:szCs w:val="28"/>
        </w:rPr>
        <w:t>отформовано одно или два технических отверстия с внутренней резьбой 1 дюйм, к которым можно подсоединить кран или трубопровод для дренажного слива емкости при осуществлении технологической мойки или сброса осадка. Отверстия оснащаются заводской заглушкой.</w:t>
      </w:r>
    </w:p>
    <w:p w:rsidR="00544641" w:rsidRDefault="00544641" w:rsidP="00544641">
      <w:r>
        <w:t>Тара должна быть новой, не бывшей в эксплуатации, пригодной для транспортировки соответствующих жидкостей, иметь сертификат соответствия.</w:t>
      </w:r>
    </w:p>
    <w:p w:rsidR="00256303" w:rsidRPr="00256303" w:rsidRDefault="00256303" w:rsidP="00256303">
      <w:pPr>
        <w:ind w:firstLine="360"/>
      </w:pPr>
    </w:p>
    <w:p w:rsidR="00DF6B2A" w:rsidRPr="00DF6B2A" w:rsidRDefault="00DF6B2A" w:rsidP="00822F9F">
      <w:pPr>
        <w:ind w:firstLine="0"/>
        <w:jc w:val="cente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2" w:name="_Toc253767390"/>
      <w:r w:rsidRPr="00297AEF">
        <w:t>ФОРМА 1. ОПИСЬ ДОКУМЕНТОВ</w:t>
      </w:r>
      <w:bookmarkEnd w:id="1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3" w:name="_Конкурсная_заявка"/>
            <w:bookmarkEnd w:id="13"/>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4" w:name="_Toc65401175"/>
    </w:p>
    <w:bookmarkEnd w:id="14"/>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1358FF"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1">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9"/>
  </w:num>
  <w:num w:numId="8">
    <w:abstractNumId w:val="2"/>
  </w:num>
  <w:num w:numId="9">
    <w:abstractNumId w:val="16"/>
  </w:num>
  <w:num w:numId="10">
    <w:abstractNumId w:val="1"/>
  </w:num>
  <w:num w:numId="11">
    <w:abstractNumId w:val="13"/>
  </w:num>
  <w:num w:numId="12">
    <w:abstractNumId w:val="15"/>
  </w:num>
  <w:num w:numId="13">
    <w:abstractNumId w:val="8"/>
  </w:num>
  <w:num w:numId="14">
    <w:abstractNumId w:val="19"/>
  </w:num>
  <w:num w:numId="15">
    <w:abstractNumId w:val="10"/>
  </w:num>
  <w:num w:numId="16">
    <w:abstractNumId w:val="20"/>
  </w:num>
  <w:num w:numId="17">
    <w:abstractNumId w:val="21"/>
  </w:num>
  <w:num w:numId="18">
    <w:abstractNumId w:val="11"/>
  </w:num>
  <w:num w:numId="19">
    <w:abstractNumId w:val="17"/>
  </w:num>
  <w:num w:numId="20">
    <w:abstractNumId w:val="5"/>
  </w:num>
  <w:num w:numId="21">
    <w:abstractNumId w:val="4"/>
  </w:num>
  <w:num w:numId="22">
    <w:abstractNumId w:val="18"/>
  </w:num>
  <w:num w:numId="23">
    <w:abstractNumId w:val="6"/>
  </w:num>
  <w:num w:numId="24">
    <w:abstractNumId w:val="3"/>
  </w:num>
  <w:num w:numId="25">
    <w:abstractNumId w:val="12"/>
  </w:num>
  <w:num w:numId="26">
    <w:abstractNumId w:val="1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358FF"/>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0FF1"/>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9FA"/>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4BDB"/>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5AF"/>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11236</Words>
  <Characters>64048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13</cp:revision>
  <cp:lastPrinted>2014-04-21T03:04:00Z</cp:lastPrinted>
  <dcterms:created xsi:type="dcterms:W3CDTF">2014-02-24T03:23:00Z</dcterms:created>
  <dcterms:modified xsi:type="dcterms:W3CDTF">2014-04-24T21:47:00Z</dcterms:modified>
</cp:coreProperties>
</file>